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9A568" w14:textId="77777777" w:rsidR="00992DD9" w:rsidRDefault="00992DD9" w:rsidP="00F82756">
      <w:pPr>
        <w:jc w:val="center"/>
        <w:rPr>
          <w:rFonts w:cstheme="minorHAnsi"/>
          <w:b/>
          <w:bCs/>
          <w:sz w:val="24"/>
          <w:szCs w:val="24"/>
          <w:u w:val="single"/>
          <w:lang w:val="en-US"/>
        </w:rPr>
      </w:pPr>
    </w:p>
    <w:p w14:paraId="235AE83E" w14:textId="0EBCB6A9" w:rsidR="00F725BD" w:rsidRPr="00272773" w:rsidRDefault="00272773" w:rsidP="00F82756">
      <w:pPr>
        <w:jc w:val="center"/>
        <w:rPr>
          <w:rFonts w:cstheme="minorHAnsi"/>
          <w:b/>
          <w:bCs/>
          <w:sz w:val="24"/>
          <w:szCs w:val="24"/>
          <w:u w:val="single"/>
          <w:lang w:val="de-DE"/>
        </w:rPr>
      </w:pPr>
      <w:r w:rsidRPr="00272773">
        <w:rPr>
          <w:rFonts w:cstheme="minorHAnsi"/>
          <w:b/>
          <w:bCs/>
          <w:sz w:val="24"/>
          <w:szCs w:val="24"/>
          <w:u w:val="single"/>
          <w:lang w:val="de-DE"/>
        </w:rPr>
        <w:t xml:space="preserve">Gemeinsame Empfehlungen zu sicheren und gesunden Arbeitsplätzen in der Chemie-, Pharma-, Kunststoff- und </w:t>
      </w:r>
      <w:r>
        <w:rPr>
          <w:rFonts w:cstheme="minorHAnsi"/>
          <w:b/>
          <w:bCs/>
          <w:sz w:val="24"/>
          <w:szCs w:val="24"/>
          <w:u w:val="single"/>
          <w:lang w:val="de-DE"/>
        </w:rPr>
        <w:t>Kautschuk</w:t>
      </w:r>
      <w:r w:rsidRPr="00272773">
        <w:rPr>
          <w:rFonts w:cstheme="minorHAnsi"/>
          <w:b/>
          <w:bCs/>
          <w:sz w:val="24"/>
          <w:szCs w:val="24"/>
          <w:u w:val="single"/>
          <w:lang w:val="de-DE"/>
        </w:rPr>
        <w:t xml:space="preserve">industrie in Zeiten von COVID-19 </w:t>
      </w:r>
    </w:p>
    <w:p w14:paraId="20D46605" w14:textId="77777777" w:rsidR="005B2C9B" w:rsidRPr="00272773" w:rsidRDefault="005B2C9B">
      <w:pPr>
        <w:rPr>
          <w:rFonts w:cstheme="minorHAnsi"/>
          <w:b/>
          <w:bCs/>
          <w:sz w:val="24"/>
          <w:szCs w:val="24"/>
          <w:lang w:val="de-DE"/>
        </w:rPr>
      </w:pPr>
    </w:p>
    <w:p w14:paraId="67D2942D" w14:textId="2D14CA40" w:rsidR="00272773" w:rsidRPr="00272773" w:rsidRDefault="00272773">
      <w:pPr>
        <w:rPr>
          <w:rFonts w:cstheme="minorHAnsi"/>
          <w:sz w:val="24"/>
          <w:szCs w:val="24"/>
          <w:lang w:val="de-DE"/>
        </w:rPr>
      </w:pPr>
      <w:r w:rsidRPr="00272773">
        <w:rPr>
          <w:rFonts w:cstheme="minorHAnsi"/>
          <w:sz w:val="24"/>
          <w:szCs w:val="24"/>
          <w:lang w:val="de-DE"/>
        </w:rPr>
        <w:t>Die Covid-19-Krise traf Europa unvorbereitet</w:t>
      </w:r>
      <w:r>
        <w:rPr>
          <w:rFonts w:cstheme="minorHAnsi"/>
          <w:sz w:val="24"/>
          <w:szCs w:val="24"/>
          <w:lang w:val="de-DE"/>
        </w:rPr>
        <w:t>. D</w:t>
      </w:r>
      <w:r w:rsidRPr="00272773">
        <w:rPr>
          <w:rFonts w:cstheme="minorHAnsi"/>
          <w:sz w:val="24"/>
          <w:szCs w:val="24"/>
          <w:lang w:val="de-DE"/>
        </w:rPr>
        <w:t>as Virus stellte Regierungen, Unternehmen und Arbeitnehmer</w:t>
      </w:r>
      <w:r>
        <w:rPr>
          <w:rFonts w:cstheme="minorHAnsi"/>
          <w:sz w:val="24"/>
          <w:szCs w:val="24"/>
          <w:lang w:val="de-DE"/>
        </w:rPr>
        <w:t>*innen</w:t>
      </w:r>
      <w:r w:rsidRPr="00272773">
        <w:rPr>
          <w:rFonts w:cstheme="minorHAnsi"/>
          <w:sz w:val="24"/>
          <w:szCs w:val="24"/>
          <w:lang w:val="de-DE"/>
        </w:rPr>
        <w:t xml:space="preserve"> vor </w:t>
      </w:r>
      <w:r>
        <w:rPr>
          <w:rFonts w:cstheme="minorHAnsi"/>
          <w:sz w:val="24"/>
          <w:szCs w:val="24"/>
          <w:lang w:val="de-DE"/>
        </w:rPr>
        <w:t>ungesehene</w:t>
      </w:r>
      <w:r w:rsidRPr="00272773">
        <w:rPr>
          <w:rFonts w:cstheme="minorHAnsi"/>
          <w:sz w:val="24"/>
          <w:szCs w:val="24"/>
          <w:lang w:val="de-DE"/>
        </w:rPr>
        <w:t xml:space="preserve"> und unvorhergesehene Herausforderungen. Nach einigen Monaten der </w:t>
      </w:r>
      <w:r>
        <w:rPr>
          <w:rFonts w:cstheme="minorHAnsi"/>
          <w:sz w:val="24"/>
          <w:szCs w:val="24"/>
          <w:lang w:val="de-DE"/>
        </w:rPr>
        <w:t>Notfallmaßnahmen</w:t>
      </w:r>
      <w:r w:rsidRPr="00272773">
        <w:rPr>
          <w:rFonts w:cstheme="minorHAnsi"/>
          <w:sz w:val="24"/>
          <w:szCs w:val="24"/>
          <w:lang w:val="de-DE"/>
        </w:rPr>
        <w:t xml:space="preserve"> - von der Aussetzung, Verringerung oder Erhöhung der Produktion (je nach </w:t>
      </w:r>
      <w:r w:rsidR="0042747E">
        <w:rPr>
          <w:rFonts w:cstheme="minorHAnsi"/>
          <w:sz w:val="24"/>
          <w:szCs w:val="24"/>
          <w:lang w:val="de-DE"/>
        </w:rPr>
        <w:t>Branche</w:t>
      </w:r>
      <w:r w:rsidRPr="00272773">
        <w:rPr>
          <w:rFonts w:cstheme="minorHAnsi"/>
          <w:sz w:val="24"/>
          <w:szCs w:val="24"/>
          <w:lang w:val="de-DE"/>
        </w:rPr>
        <w:t xml:space="preserve">) bis hin </w:t>
      </w:r>
      <w:r w:rsidRPr="0042747E">
        <w:rPr>
          <w:rFonts w:cstheme="minorHAnsi"/>
          <w:sz w:val="24"/>
          <w:szCs w:val="24"/>
          <w:lang w:val="de-DE"/>
        </w:rPr>
        <w:t>zur Suche nach persönlicher Schutzausrüstung</w:t>
      </w:r>
      <w:r w:rsidRPr="00272773">
        <w:rPr>
          <w:rFonts w:cstheme="minorHAnsi"/>
          <w:sz w:val="24"/>
          <w:szCs w:val="24"/>
          <w:lang w:val="de-DE"/>
        </w:rPr>
        <w:t xml:space="preserve"> - </w:t>
      </w:r>
      <w:r w:rsidR="0042747E">
        <w:rPr>
          <w:rFonts w:cstheme="minorHAnsi"/>
          <w:sz w:val="24"/>
          <w:szCs w:val="24"/>
          <w:lang w:val="de-DE"/>
        </w:rPr>
        <w:t>unternimmt</w:t>
      </w:r>
      <w:r w:rsidRPr="00272773">
        <w:rPr>
          <w:rFonts w:cstheme="minorHAnsi"/>
          <w:sz w:val="24"/>
          <w:szCs w:val="24"/>
          <w:lang w:val="de-DE"/>
        </w:rPr>
        <w:t xml:space="preserve"> Europa nun den nächsten Schritt in Richtung einer neuen Normalität. Für </w:t>
      </w:r>
      <w:r>
        <w:rPr>
          <w:rFonts w:cstheme="minorHAnsi"/>
          <w:sz w:val="24"/>
          <w:szCs w:val="24"/>
          <w:lang w:val="de-DE"/>
        </w:rPr>
        <w:t xml:space="preserve">den Arbeits- und </w:t>
      </w:r>
      <w:r w:rsidR="004A16AB">
        <w:rPr>
          <w:rFonts w:cstheme="minorHAnsi"/>
          <w:sz w:val="24"/>
          <w:szCs w:val="24"/>
          <w:lang w:val="de-DE"/>
        </w:rPr>
        <w:t>Gesundheitsschutz</w:t>
      </w:r>
      <w:r w:rsidRPr="00272773">
        <w:rPr>
          <w:rFonts w:cstheme="minorHAnsi"/>
          <w:sz w:val="24"/>
          <w:szCs w:val="24"/>
          <w:lang w:val="de-DE"/>
        </w:rPr>
        <w:t xml:space="preserve"> bedeutet dies ein breites Spektrum </w:t>
      </w:r>
      <w:r w:rsidR="004A16AB">
        <w:rPr>
          <w:rFonts w:cstheme="minorHAnsi"/>
          <w:sz w:val="24"/>
          <w:szCs w:val="24"/>
          <w:lang w:val="de-DE"/>
        </w:rPr>
        <w:t>a</w:t>
      </w:r>
      <w:r w:rsidRPr="00272773">
        <w:rPr>
          <w:rFonts w:cstheme="minorHAnsi"/>
          <w:sz w:val="24"/>
          <w:szCs w:val="24"/>
          <w:lang w:val="de-DE"/>
        </w:rPr>
        <w:t>n Maßnahmen und Vorkehrungen für alle Berufe und Arbeitsplätze. Viele Unternehmen haben bereits Wiederaufnahme- oder Kontinuitätspläne aufgestellt</w:t>
      </w:r>
      <w:r w:rsidR="0042747E">
        <w:rPr>
          <w:rFonts w:cstheme="minorHAnsi"/>
          <w:sz w:val="24"/>
          <w:szCs w:val="24"/>
          <w:lang w:val="de-DE"/>
        </w:rPr>
        <w:t xml:space="preserve"> und</w:t>
      </w:r>
      <w:r w:rsidRPr="00272773">
        <w:rPr>
          <w:rFonts w:cstheme="minorHAnsi"/>
          <w:sz w:val="24"/>
          <w:szCs w:val="24"/>
          <w:lang w:val="de-DE"/>
        </w:rPr>
        <w:t xml:space="preserve"> Management und Gewerkschaften haben zusammengearbeitet, um sichere Arbeitsbedingungen zu gewährleisten. Einige </w:t>
      </w:r>
      <w:r w:rsidR="0042747E">
        <w:rPr>
          <w:rFonts w:cstheme="minorHAnsi"/>
          <w:sz w:val="24"/>
          <w:szCs w:val="24"/>
          <w:lang w:val="de-DE"/>
        </w:rPr>
        <w:t xml:space="preserve">Unternehmen </w:t>
      </w:r>
      <w:r w:rsidRPr="00272773">
        <w:rPr>
          <w:rFonts w:cstheme="minorHAnsi"/>
          <w:sz w:val="24"/>
          <w:szCs w:val="24"/>
          <w:lang w:val="de-DE"/>
        </w:rPr>
        <w:t xml:space="preserve">suchen </w:t>
      </w:r>
      <w:r w:rsidR="0042747E">
        <w:rPr>
          <w:rFonts w:cstheme="minorHAnsi"/>
          <w:sz w:val="24"/>
          <w:szCs w:val="24"/>
          <w:lang w:val="de-DE"/>
        </w:rPr>
        <w:t>bei der schrittweisen Wiederaufnahme ihre</w:t>
      </w:r>
      <w:r w:rsidR="00EB2922">
        <w:rPr>
          <w:rFonts w:cstheme="minorHAnsi"/>
          <w:sz w:val="24"/>
          <w:szCs w:val="24"/>
          <w:lang w:val="de-DE"/>
        </w:rPr>
        <w:t>r</w:t>
      </w:r>
      <w:r w:rsidR="0042747E">
        <w:rPr>
          <w:rFonts w:cstheme="minorHAnsi"/>
          <w:sz w:val="24"/>
          <w:szCs w:val="24"/>
          <w:lang w:val="de-DE"/>
        </w:rPr>
        <w:t xml:space="preserve"> Tätigkeiten </w:t>
      </w:r>
      <w:r w:rsidRPr="00272773">
        <w:rPr>
          <w:rFonts w:cstheme="minorHAnsi"/>
          <w:sz w:val="24"/>
          <w:szCs w:val="24"/>
          <w:lang w:val="de-DE"/>
        </w:rPr>
        <w:t>noch nach Anleitung</w:t>
      </w:r>
      <w:r w:rsidR="0042747E">
        <w:rPr>
          <w:rFonts w:cstheme="minorHAnsi"/>
          <w:sz w:val="24"/>
          <w:szCs w:val="24"/>
          <w:lang w:val="de-DE"/>
        </w:rPr>
        <w:t>.</w:t>
      </w:r>
      <w:r w:rsidRPr="00272773">
        <w:rPr>
          <w:rFonts w:cstheme="minorHAnsi"/>
          <w:sz w:val="24"/>
          <w:szCs w:val="24"/>
          <w:lang w:val="de-DE"/>
        </w:rPr>
        <w:t xml:space="preserve"> </w:t>
      </w:r>
    </w:p>
    <w:p w14:paraId="41C3EA74" w14:textId="77777777" w:rsidR="00272773" w:rsidRPr="00272773" w:rsidRDefault="00272773">
      <w:pPr>
        <w:rPr>
          <w:rFonts w:cstheme="minorHAnsi"/>
          <w:sz w:val="24"/>
          <w:szCs w:val="24"/>
          <w:lang w:val="de-DE"/>
        </w:rPr>
      </w:pPr>
    </w:p>
    <w:p w14:paraId="035C69BE" w14:textId="59D61FD3" w:rsidR="00F21D4B" w:rsidRPr="004A16AB" w:rsidRDefault="004A16AB">
      <w:pPr>
        <w:rPr>
          <w:rFonts w:cstheme="minorHAnsi"/>
          <w:b/>
          <w:bCs/>
          <w:sz w:val="24"/>
          <w:szCs w:val="24"/>
          <w:lang w:val="de-DE"/>
        </w:rPr>
      </w:pPr>
      <w:r w:rsidRPr="004A16AB">
        <w:rPr>
          <w:rFonts w:cstheme="minorHAnsi"/>
          <w:b/>
          <w:bCs/>
          <w:sz w:val="24"/>
          <w:szCs w:val="24"/>
          <w:lang w:val="de-DE"/>
        </w:rPr>
        <w:t>Ziel</w:t>
      </w:r>
      <w:r w:rsidR="00F21D4B" w:rsidRPr="004A16AB">
        <w:rPr>
          <w:rFonts w:cstheme="minorHAnsi"/>
          <w:b/>
          <w:bCs/>
          <w:sz w:val="24"/>
          <w:szCs w:val="24"/>
          <w:lang w:val="de-DE"/>
        </w:rPr>
        <w:t>:</w:t>
      </w:r>
    </w:p>
    <w:p w14:paraId="1F182E59" w14:textId="0EB6C020" w:rsidR="00F21D4B" w:rsidRPr="004A16AB" w:rsidRDefault="004A16AB" w:rsidP="00F21D4B">
      <w:pPr>
        <w:autoSpaceDE w:val="0"/>
        <w:autoSpaceDN w:val="0"/>
        <w:adjustRightInd w:val="0"/>
        <w:spacing w:after="0" w:line="240" w:lineRule="auto"/>
        <w:rPr>
          <w:rFonts w:cstheme="minorHAnsi"/>
          <w:sz w:val="24"/>
          <w:szCs w:val="24"/>
          <w:lang w:val="de-DE"/>
        </w:rPr>
      </w:pPr>
      <w:r w:rsidRPr="004A16AB">
        <w:rPr>
          <w:rFonts w:cstheme="minorHAnsi"/>
          <w:sz w:val="24"/>
          <w:szCs w:val="24"/>
          <w:lang w:val="de-DE"/>
        </w:rPr>
        <w:t xml:space="preserve">Die Sozialpartner der Chemie-, Pharma-, Kunststoff- und </w:t>
      </w:r>
      <w:r>
        <w:rPr>
          <w:rFonts w:cstheme="minorHAnsi"/>
          <w:sz w:val="24"/>
          <w:szCs w:val="24"/>
          <w:lang w:val="de-DE"/>
        </w:rPr>
        <w:t>Kautschuk</w:t>
      </w:r>
      <w:r w:rsidRPr="004A16AB">
        <w:rPr>
          <w:rFonts w:cstheme="minorHAnsi"/>
          <w:sz w:val="24"/>
          <w:szCs w:val="24"/>
          <w:lang w:val="de-DE"/>
        </w:rPr>
        <w:t xml:space="preserve">industrie, industriAll European Trade Union </w:t>
      </w:r>
      <w:r>
        <w:rPr>
          <w:rFonts w:cstheme="minorHAnsi"/>
          <w:sz w:val="24"/>
          <w:szCs w:val="24"/>
          <w:lang w:val="de-DE"/>
        </w:rPr>
        <w:t>u</w:t>
      </w:r>
      <w:r w:rsidRPr="004A16AB">
        <w:rPr>
          <w:rFonts w:cstheme="minorHAnsi"/>
          <w:sz w:val="24"/>
          <w:szCs w:val="24"/>
          <w:lang w:val="de-DE"/>
        </w:rPr>
        <w:t>nd European Chemical Employers Group (ECEG)</w:t>
      </w:r>
      <w:r>
        <w:rPr>
          <w:rFonts w:cstheme="minorHAnsi"/>
          <w:sz w:val="24"/>
          <w:szCs w:val="24"/>
          <w:lang w:val="de-DE"/>
        </w:rPr>
        <w:t>,</w:t>
      </w:r>
      <w:r w:rsidRPr="004A16AB">
        <w:rPr>
          <w:rFonts w:cstheme="minorHAnsi"/>
          <w:sz w:val="24"/>
          <w:szCs w:val="24"/>
          <w:lang w:val="de-DE"/>
        </w:rPr>
        <w:t xml:space="preserve"> möchten ihr Engagement für eine rasche wirtschaftliche Erholung zum Ausdruck bringen, bei der sichere und gesunde Arbeitsbedingungen in der gesamten Branche </w:t>
      </w:r>
      <w:r w:rsidR="0042747E">
        <w:rPr>
          <w:rFonts w:cstheme="minorHAnsi"/>
          <w:sz w:val="24"/>
          <w:szCs w:val="24"/>
          <w:lang w:val="de-DE"/>
        </w:rPr>
        <w:t>uneingeschränkt</w:t>
      </w:r>
      <w:r w:rsidRPr="004A16AB">
        <w:rPr>
          <w:rFonts w:cstheme="minorHAnsi"/>
          <w:sz w:val="24"/>
          <w:szCs w:val="24"/>
          <w:lang w:val="de-DE"/>
        </w:rPr>
        <w:t xml:space="preserve"> respektiert werden.  </w:t>
      </w:r>
      <w:r w:rsidR="00F21D4B" w:rsidRPr="004A16AB">
        <w:rPr>
          <w:rFonts w:cstheme="minorHAnsi"/>
          <w:sz w:val="24"/>
          <w:szCs w:val="24"/>
          <w:lang w:val="de-DE"/>
        </w:rPr>
        <w:t xml:space="preserve">  </w:t>
      </w:r>
    </w:p>
    <w:p w14:paraId="7B13732E" w14:textId="77777777" w:rsidR="002762A9" w:rsidRPr="004A16AB" w:rsidRDefault="002762A9" w:rsidP="00F21D4B">
      <w:pPr>
        <w:autoSpaceDE w:val="0"/>
        <w:autoSpaceDN w:val="0"/>
        <w:adjustRightInd w:val="0"/>
        <w:spacing w:after="0" w:line="240" w:lineRule="auto"/>
        <w:rPr>
          <w:rFonts w:cstheme="minorHAnsi"/>
          <w:sz w:val="24"/>
          <w:szCs w:val="24"/>
          <w:lang w:val="de-DE"/>
        </w:rPr>
      </w:pPr>
    </w:p>
    <w:p w14:paraId="742D01F2" w14:textId="4254B94D" w:rsidR="004A16AB" w:rsidRPr="004A16AB" w:rsidRDefault="004A16AB">
      <w:pPr>
        <w:autoSpaceDE w:val="0"/>
        <w:autoSpaceDN w:val="0"/>
        <w:adjustRightInd w:val="0"/>
        <w:spacing w:after="0" w:line="240" w:lineRule="auto"/>
        <w:rPr>
          <w:rFonts w:cstheme="minorHAnsi"/>
          <w:sz w:val="24"/>
          <w:szCs w:val="24"/>
          <w:lang w:val="de-DE"/>
        </w:rPr>
      </w:pPr>
      <w:r w:rsidRPr="004A16AB">
        <w:rPr>
          <w:rFonts w:cstheme="minorHAnsi"/>
          <w:sz w:val="24"/>
          <w:szCs w:val="24"/>
          <w:lang w:val="de-DE"/>
        </w:rPr>
        <w:t xml:space="preserve">In dem Bewusstsein, dass es kein </w:t>
      </w:r>
      <w:r>
        <w:rPr>
          <w:rFonts w:cstheme="minorHAnsi"/>
          <w:sz w:val="24"/>
          <w:szCs w:val="24"/>
          <w:lang w:val="de-DE"/>
        </w:rPr>
        <w:t>„Universalkonzept</w:t>
      </w:r>
      <w:r w:rsidRPr="004A16AB">
        <w:rPr>
          <w:rFonts w:cstheme="minorHAnsi"/>
          <w:sz w:val="24"/>
          <w:szCs w:val="24"/>
          <w:lang w:val="de-DE"/>
        </w:rPr>
        <w:t>" geben kann, möchten ECEG und industriAll Europe die Aufmerksamkeit auf die von dreigliedrigen Einrichtungen wie EU-OSHA</w:t>
      </w:r>
      <w:r>
        <w:rPr>
          <w:rStyle w:val="FootnoteReference"/>
          <w:rFonts w:cstheme="minorHAnsi"/>
          <w:sz w:val="24"/>
          <w:szCs w:val="24"/>
          <w:lang w:val="en-GB"/>
        </w:rPr>
        <w:footnoteReference w:id="1"/>
      </w:r>
      <w:r w:rsidRPr="004A16AB">
        <w:rPr>
          <w:rFonts w:cstheme="minorHAnsi"/>
          <w:sz w:val="24"/>
          <w:szCs w:val="24"/>
          <w:lang w:val="de-DE"/>
        </w:rPr>
        <w:t xml:space="preserve"> oder </w:t>
      </w:r>
      <w:r w:rsidR="0042747E">
        <w:rPr>
          <w:rFonts w:cstheme="minorHAnsi"/>
          <w:sz w:val="24"/>
          <w:szCs w:val="24"/>
          <w:lang w:val="de-DE"/>
        </w:rPr>
        <w:t xml:space="preserve">der </w:t>
      </w:r>
      <w:r w:rsidRPr="004A16AB">
        <w:rPr>
          <w:rFonts w:cstheme="minorHAnsi"/>
          <w:sz w:val="24"/>
          <w:szCs w:val="24"/>
          <w:lang w:val="de-DE"/>
        </w:rPr>
        <w:t>IAO</w:t>
      </w:r>
      <w:r>
        <w:rPr>
          <w:rStyle w:val="FootnoteReference"/>
          <w:rFonts w:cstheme="minorHAnsi"/>
          <w:sz w:val="24"/>
          <w:szCs w:val="24"/>
          <w:lang w:val="en-GB"/>
        </w:rPr>
        <w:footnoteReference w:id="2"/>
      </w:r>
      <w:r w:rsidRPr="004A16AB">
        <w:rPr>
          <w:rFonts w:cstheme="minorHAnsi"/>
          <w:sz w:val="24"/>
          <w:szCs w:val="24"/>
          <w:lang w:val="de-DE"/>
        </w:rPr>
        <w:t xml:space="preserve"> herausgegebenen Leitlinien für die sichere Rückkehr an den Arbeitsplatz lenken und Beispiele für bereits ausgehandelte </w:t>
      </w:r>
      <w:r>
        <w:rPr>
          <w:rFonts w:cstheme="minorHAnsi"/>
          <w:sz w:val="24"/>
          <w:szCs w:val="24"/>
          <w:lang w:val="de-DE"/>
        </w:rPr>
        <w:t>Branchen</w:t>
      </w:r>
      <w:r w:rsidRPr="004A16AB">
        <w:rPr>
          <w:rFonts w:cstheme="minorHAnsi"/>
          <w:sz w:val="24"/>
          <w:szCs w:val="24"/>
          <w:lang w:val="de-DE"/>
        </w:rPr>
        <w:t xml:space="preserve">vereinbarungen </w:t>
      </w:r>
      <w:r w:rsidR="0042747E">
        <w:rPr>
          <w:rFonts w:cstheme="minorHAnsi"/>
          <w:sz w:val="24"/>
          <w:szCs w:val="24"/>
          <w:lang w:val="de-DE"/>
        </w:rPr>
        <w:t>teilen</w:t>
      </w:r>
      <w:r w:rsidRPr="004A16AB">
        <w:rPr>
          <w:rFonts w:cstheme="minorHAnsi"/>
          <w:sz w:val="24"/>
          <w:szCs w:val="24"/>
          <w:lang w:val="de-DE"/>
        </w:rPr>
        <w:t>.</w:t>
      </w:r>
    </w:p>
    <w:p w14:paraId="7878B7CD" w14:textId="77777777" w:rsidR="004A16AB" w:rsidRPr="004A16AB" w:rsidRDefault="004A16AB">
      <w:pPr>
        <w:autoSpaceDE w:val="0"/>
        <w:autoSpaceDN w:val="0"/>
        <w:adjustRightInd w:val="0"/>
        <w:spacing w:after="0" w:line="240" w:lineRule="auto"/>
        <w:rPr>
          <w:rFonts w:cstheme="minorHAnsi"/>
          <w:sz w:val="24"/>
          <w:szCs w:val="24"/>
          <w:lang w:val="de-DE"/>
        </w:rPr>
      </w:pPr>
    </w:p>
    <w:p w14:paraId="6F96A6A3" w14:textId="24D7856A" w:rsidR="004A16AB" w:rsidRPr="004A16AB" w:rsidRDefault="004A16AB" w:rsidP="002D5A73">
      <w:pPr>
        <w:autoSpaceDE w:val="0"/>
        <w:autoSpaceDN w:val="0"/>
        <w:adjustRightInd w:val="0"/>
        <w:spacing w:after="0" w:line="240" w:lineRule="auto"/>
        <w:rPr>
          <w:rFonts w:cstheme="minorHAnsi"/>
          <w:sz w:val="24"/>
          <w:szCs w:val="24"/>
          <w:lang w:val="de-DE"/>
        </w:rPr>
      </w:pPr>
      <w:r w:rsidRPr="004A16AB">
        <w:rPr>
          <w:rFonts w:cstheme="minorHAnsi"/>
          <w:sz w:val="24"/>
          <w:szCs w:val="24"/>
          <w:lang w:val="de-DE"/>
        </w:rPr>
        <w:t>Diese Empfehlungen sollen die Arbeitgeber unterstützen und die Arbeitnehmer</w:t>
      </w:r>
      <w:r>
        <w:rPr>
          <w:rFonts w:cstheme="minorHAnsi"/>
          <w:sz w:val="24"/>
          <w:szCs w:val="24"/>
          <w:lang w:val="de-DE"/>
        </w:rPr>
        <w:t>*innen</w:t>
      </w:r>
      <w:r w:rsidRPr="004A16AB">
        <w:rPr>
          <w:rFonts w:cstheme="minorHAnsi"/>
          <w:sz w:val="24"/>
          <w:szCs w:val="24"/>
          <w:lang w:val="de-DE"/>
        </w:rPr>
        <w:t xml:space="preserve"> in der Arbeitswelt schützen und sicherstellen, dass </w:t>
      </w:r>
      <w:r w:rsidR="0042747E">
        <w:rPr>
          <w:rFonts w:cstheme="minorHAnsi"/>
          <w:sz w:val="24"/>
          <w:szCs w:val="24"/>
          <w:lang w:val="de-DE"/>
        </w:rPr>
        <w:t>sie</w:t>
      </w:r>
      <w:r w:rsidRPr="004A16AB">
        <w:rPr>
          <w:rFonts w:cstheme="minorHAnsi"/>
          <w:sz w:val="24"/>
          <w:szCs w:val="24"/>
          <w:lang w:val="de-DE"/>
        </w:rPr>
        <w:t xml:space="preserve"> und ihre zuständigen Ausschüsse oder Vertretungsgremien in die allgemeine </w:t>
      </w:r>
      <w:r>
        <w:rPr>
          <w:rFonts w:cstheme="minorHAnsi"/>
          <w:sz w:val="24"/>
          <w:szCs w:val="24"/>
          <w:lang w:val="de-DE"/>
        </w:rPr>
        <w:t>Risikobewertung sowie</w:t>
      </w:r>
      <w:r w:rsidRPr="004A16AB">
        <w:rPr>
          <w:rFonts w:cstheme="minorHAnsi"/>
          <w:sz w:val="24"/>
          <w:szCs w:val="24"/>
          <w:lang w:val="de-DE"/>
        </w:rPr>
        <w:t xml:space="preserve"> den Entwurf und die Umsetzung von Maßnahmen einbezogen werden.</w:t>
      </w:r>
    </w:p>
    <w:p w14:paraId="59396EE5" w14:textId="77777777" w:rsidR="00AE331C" w:rsidRPr="0042747E" w:rsidRDefault="00AE331C" w:rsidP="002D5A73">
      <w:pPr>
        <w:autoSpaceDE w:val="0"/>
        <w:autoSpaceDN w:val="0"/>
        <w:adjustRightInd w:val="0"/>
        <w:spacing w:after="0" w:line="240" w:lineRule="auto"/>
        <w:rPr>
          <w:rFonts w:cstheme="minorHAnsi"/>
          <w:sz w:val="24"/>
          <w:szCs w:val="24"/>
          <w:lang w:val="de-DE"/>
        </w:rPr>
      </w:pPr>
    </w:p>
    <w:p w14:paraId="258EC0E1" w14:textId="6FC4AE3E" w:rsidR="00992DD9" w:rsidRPr="004A16AB" w:rsidRDefault="004A16AB" w:rsidP="002D5A73">
      <w:pPr>
        <w:autoSpaceDE w:val="0"/>
        <w:autoSpaceDN w:val="0"/>
        <w:adjustRightInd w:val="0"/>
        <w:spacing w:after="0" w:line="240" w:lineRule="auto"/>
        <w:rPr>
          <w:rFonts w:cstheme="minorHAnsi"/>
          <w:sz w:val="24"/>
          <w:szCs w:val="24"/>
          <w:lang w:val="de-DE"/>
        </w:rPr>
      </w:pPr>
      <w:r w:rsidRPr="004A16AB">
        <w:rPr>
          <w:rFonts w:cstheme="minorHAnsi"/>
          <w:sz w:val="24"/>
          <w:szCs w:val="24"/>
          <w:lang w:val="de-DE"/>
        </w:rPr>
        <w:t xml:space="preserve">Der Anhang zu dieser Erklärung enthält eine Sammlung von Vereinbarungen oder Empfehlungen unserer Mitgliedsorganisationen und wird aktualisiert, sobald industriAll Europe oder ECEG </w:t>
      </w:r>
      <w:r>
        <w:rPr>
          <w:rFonts w:cstheme="minorHAnsi"/>
          <w:sz w:val="24"/>
          <w:szCs w:val="24"/>
          <w:lang w:val="de-DE"/>
        </w:rPr>
        <w:t>weitere</w:t>
      </w:r>
      <w:r w:rsidRPr="004A16AB">
        <w:rPr>
          <w:rFonts w:cstheme="minorHAnsi"/>
          <w:sz w:val="24"/>
          <w:szCs w:val="24"/>
          <w:lang w:val="de-DE"/>
        </w:rPr>
        <w:t xml:space="preserve"> Beispiele erhalten.</w:t>
      </w:r>
    </w:p>
    <w:p w14:paraId="030CC79A" w14:textId="1C52010A" w:rsidR="00992DD9" w:rsidRPr="0042747E" w:rsidRDefault="00992DD9" w:rsidP="002D5A73">
      <w:pPr>
        <w:autoSpaceDE w:val="0"/>
        <w:autoSpaceDN w:val="0"/>
        <w:adjustRightInd w:val="0"/>
        <w:spacing w:after="0" w:line="240" w:lineRule="auto"/>
        <w:rPr>
          <w:rFonts w:cstheme="minorHAnsi"/>
          <w:sz w:val="24"/>
          <w:szCs w:val="24"/>
          <w:lang w:val="de-DE"/>
        </w:rPr>
      </w:pPr>
    </w:p>
    <w:p w14:paraId="10FEA8EA" w14:textId="14A2E00B" w:rsidR="00992DD9" w:rsidRPr="0042747E" w:rsidRDefault="00992DD9" w:rsidP="002D5A73">
      <w:pPr>
        <w:autoSpaceDE w:val="0"/>
        <w:autoSpaceDN w:val="0"/>
        <w:adjustRightInd w:val="0"/>
        <w:spacing w:after="0" w:line="240" w:lineRule="auto"/>
        <w:rPr>
          <w:rFonts w:cstheme="minorHAnsi"/>
          <w:sz w:val="24"/>
          <w:szCs w:val="24"/>
          <w:lang w:val="de-DE"/>
        </w:rPr>
      </w:pPr>
    </w:p>
    <w:p w14:paraId="541C09E8" w14:textId="5498A35A" w:rsidR="00F21D4B" w:rsidRPr="0042747E" w:rsidRDefault="00F21D4B">
      <w:pPr>
        <w:rPr>
          <w:rFonts w:cstheme="minorHAnsi"/>
          <w:sz w:val="24"/>
          <w:szCs w:val="24"/>
          <w:lang w:val="de-DE"/>
        </w:rPr>
      </w:pPr>
    </w:p>
    <w:p w14:paraId="30F5F77E" w14:textId="48941279" w:rsidR="003A7750" w:rsidRPr="004A16AB" w:rsidRDefault="004A16AB" w:rsidP="00171B0D">
      <w:pPr>
        <w:rPr>
          <w:rFonts w:cstheme="minorHAnsi"/>
          <w:b/>
          <w:bCs/>
          <w:sz w:val="24"/>
          <w:szCs w:val="24"/>
          <w:lang w:val="de-DE"/>
        </w:rPr>
      </w:pPr>
      <w:r w:rsidRPr="004A16AB">
        <w:rPr>
          <w:rFonts w:cstheme="minorHAnsi"/>
          <w:b/>
          <w:bCs/>
          <w:sz w:val="24"/>
          <w:szCs w:val="24"/>
          <w:lang w:val="de-DE"/>
        </w:rPr>
        <w:t>Sozialdialog auf Unternehmensebene</w:t>
      </w:r>
    </w:p>
    <w:p w14:paraId="37F0E81B" w14:textId="690571F4" w:rsidR="004A16AB" w:rsidRPr="004A16AB" w:rsidRDefault="004A16AB" w:rsidP="00AB3A2E">
      <w:pPr>
        <w:rPr>
          <w:rFonts w:cstheme="minorHAnsi"/>
          <w:sz w:val="24"/>
          <w:szCs w:val="24"/>
          <w:lang w:val="de-DE"/>
        </w:rPr>
      </w:pPr>
      <w:r w:rsidRPr="004A16AB">
        <w:rPr>
          <w:rFonts w:cstheme="minorHAnsi"/>
          <w:sz w:val="24"/>
          <w:szCs w:val="24"/>
          <w:lang w:val="de-DE"/>
        </w:rPr>
        <w:t xml:space="preserve">Jedes Unternehmen, unabhängig von seiner Größe, wird </w:t>
      </w:r>
      <w:r w:rsidR="0042747E">
        <w:rPr>
          <w:rFonts w:cstheme="minorHAnsi"/>
          <w:sz w:val="24"/>
          <w:szCs w:val="24"/>
          <w:lang w:val="de-DE"/>
        </w:rPr>
        <w:t>darin bestärkt</w:t>
      </w:r>
      <w:r w:rsidRPr="004A16AB">
        <w:rPr>
          <w:rFonts w:cstheme="minorHAnsi"/>
          <w:sz w:val="24"/>
          <w:szCs w:val="24"/>
          <w:lang w:val="de-DE"/>
        </w:rPr>
        <w:t xml:space="preserve">, einen Notfall-/Kontinuitätsplan zu erstellen, um den Schutz </w:t>
      </w:r>
      <w:r w:rsidR="00924747">
        <w:rPr>
          <w:rFonts w:cstheme="minorHAnsi"/>
          <w:sz w:val="24"/>
          <w:szCs w:val="24"/>
          <w:lang w:val="de-DE"/>
        </w:rPr>
        <w:t>seiner Beschäftigten</w:t>
      </w:r>
      <w:r w:rsidRPr="004A16AB">
        <w:rPr>
          <w:rFonts w:cstheme="minorHAnsi"/>
          <w:sz w:val="24"/>
          <w:szCs w:val="24"/>
          <w:lang w:val="de-DE"/>
        </w:rPr>
        <w:t xml:space="preserve"> und die Aufrechterhaltung seiner Aktivitäten zu gewährleisten. Der soziale Dialog und die Einbeziehung der </w:t>
      </w:r>
      <w:r w:rsidR="00924747">
        <w:rPr>
          <w:rFonts w:cstheme="minorHAnsi"/>
          <w:sz w:val="24"/>
          <w:szCs w:val="24"/>
          <w:lang w:val="de-DE"/>
        </w:rPr>
        <w:t>Arbeitnehmerv</w:t>
      </w:r>
      <w:r w:rsidRPr="004A16AB">
        <w:rPr>
          <w:rFonts w:cstheme="minorHAnsi"/>
          <w:sz w:val="24"/>
          <w:szCs w:val="24"/>
          <w:lang w:val="de-DE"/>
        </w:rPr>
        <w:t>ertreter</w:t>
      </w:r>
      <w:r w:rsidR="0042747E">
        <w:rPr>
          <w:rFonts w:cstheme="minorHAnsi"/>
          <w:sz w:val="24"/>
          <w:szCs w:val="24"/>
          <w:lang w:val="de-DE"/>
        </w:rPr>
        <w:t>*innen</w:t>
      </w:r>
      <w:r w:rsidRPr="004A16AB">
        <w:rPr>
          <w:rFonts w:cstheme="minorHAnsi"/>
          <w:sz w:val="24"/>
          <w:szCs w:val="24"/>
          <w:lang w:val="de-DE"/>
        </w:rPr>
        <w:t xml:space="preserve"> für </w:t>
      </w:r>
      <w:r w:rsidR="00924747">
        <w:rPr>
          <w:rFonts w:cstheme="minorHAnsi"/>
          <w:sz w:val="24"/>
          <w:szCs w:val="24"/>
          <w:lang w:val="de-DE"/>
        </w:rPr>
        <w:t>Arbeits- und Gesundheitsschutz</w:t>
      </w:r>
      <w:r w:rsidRPr="004A16AB">
        <w:rPr>
          <w:rFonts w:cstheme="minorHAnsi"/>
          <w:sz w:val="24"/>
          <w:szCs w:val="24"/>
          <w:lang w:val="de-DE"/>
        </w:rPr>
        <w:t xml:space="preserve"> sind von </w:t>
      </w:r>
      <w:r w:rsidR="0042747E">
        <w:rPr>
          <w:rFonts w:cstheme="minorHAnsi"/>
          <w:sz w:val="24"/>
          <w:szCs w:val="24"/>
          <w:lang w:val="de-DE"/>
        </w:rPr>
        <w:t>entscheidender</w:t>
      </w:r>
      <w:r w:rsidRPr="004A16AB">
        <w:rPr>
          <w:rFonts w:cstheme="minorHAnsi"/>
          <w:sz w:val="24"/>
          <w:szCs w:val="24"/>
          <w:lang w:val="de-DE"/>
        </w:rPr>
        <w:t xml:space="preserve"> Bedeutung.</w:t>
      </w:r>
    </w:p>
    <w:p w14:paraId="7355E083" w14:textId="1B2C2897" w:rsidR="00924747" w:rsidRPr="00924747" w:rsidRDefault="00AB3A2E" w:rsidP="00AB3A2E">
      <w:pPr>
        <w:rPr>
          <w:rFonts w:cstheme="minorHAnsi"/>
          <w:sz w:val="24"/>
          <w:szCs w:val="24"/>
          <w:lang w:val="de-DE"/>
        </w:rPr>
      </w:pPr>
      <w:r w:rsidRPr="00924747">
        <w:rPr>
          <w:rFonts w:cstheme="minorHAnsi"/>
          <w:sz w:val="24"/>
          <w:szCs w:val="24"/>
          <w:lang w:val="de-DE"/>
        </w:rPr>
        <w:t xml:space="preserve">ECEG and industriAll </w:t>
      </w:r>
      <w:r w:rsidR="004A5577" w:rsidRPr="00924747">
        <w:rPr>
          <w:rFonts w:cstheme="minorHAnsi"/>
          <w:sz w:val="24"/>
          <w:szCs w:val="24"/>
          <w:lang w:val="de-DE"/>
        </w:rPr>
        <w:t xml:space="preserve">Europe </w:t>
      </w:r>
      <w:r w:rsidR="00924747">
        <w:rPr>
          <w:rFonts w:cstheme="minorHAnsi"/>
          <w:sz w:val="24"/>
          <w:szCs w:val="24"/>
          <w:lang w:val="de-DE"/>
        </w:rPr>
        <w:t xml:space="preserve">empfehlen </w:t>
      </w:r>
      <w:r w:rsidR="00924747" w:rsidRPr="00924747">
        <w:rPr>
          <w:rFonts w:cstheme="minorHAnsi"/>
          <w:sz w:val="24"/>
          <w:szCs w:val="24"/>
          <w:lang w:val="de-DE"/>
        </w:rPr>
        <w:t>eine allgemeine Risikobewertung</w:t>
      </w:r>
      <w:r w:rsidR="000D4324">
        <w:rPr>
          <w:rStyle w:val="FootnoteReference"/>
          <w:rFonts w:cstheme="minorHAnsi"/>
          <w:sz w:val="24"/>
          <w:szCs w:val="24"/>
          <w:lang w:val="de-DE"/>
        </w:rPr>
        <w:footnoteReference w:id="3"/>
      </w:r>
      <w:r w:rsidR="00924747" w:rsidRPr="00924747">
        <w:rPr>
          <w:rFonts w:cstheme="minorHAnsi"/>
          <w:sz w:val="24"/>
          <w:szCs w:val="24"/>
          <w:lang w:val="de-DE"/>
        </w:rPr>
        <w:t>. Sozialpartner auf Unternehmensebene sollten zusammenarbeiten, um notwendige Maßnahmen zu ermitteln und umzusetzen. Die Pläne sollten nicht nur Präventivmaßnahmen umfassen, sondern auch Notfallvorsorgeverfahren für den Fall eine</w:t>
      </w:r>
      <w:r w:rsidR="00924747">
        <w:rPr>
          <w:rFonts w:cstheme="minorHAnsi"/>
          <w:sz w:val="24"/>
          <w:szCs w:val="24"/>
          <w:lang w:val="de-DE"/>
        </w:rPr>
        <w:t>r erneuten Infektionswelle</w:t>
      </w:r>
      <w:r w:rsidR="00924747" w:rsidRPr="00924747">
        <w:rPr>
          <w:rFonts w:cstheme="minorHAnsi"/>
          <w:sz w:val="24"/>
          <w:szCs w:val="24"/>
          <w:lang w:val="de-DE"/>
        </w:rPr>
        <w:t xml:space="preserve"> festlegen.</w:t>
      </w:r>
    </w:p>
    <w:p w14:paraId="16D8BEE1" w14:textId="60BB0CBE" w:rsidR="00924747" w:rsidRDefault="00924747" w:rsidP="00171B0D">
      <w:pPr>
        <w:rPr>
          <w:rFonts w:cstheme="minorHAnsi"/>
          <w:sz w:val="24"/>
          <w:szCs w:val="24"/>
        </w:rPr>
      </w:pPr>
      <w:r w:rsidRPr="00924747">
        <w:rPr>
          <w:rFonts w:cstheme="minorHAnsi"/>
          <w:sz w:val="24"/>
          <w:szCs w:val="24"/>
        </w:rPr>
        <w:t xml:space="preserve">Die beschlossenen Maßnahmen sollten nicht nur </w:t>
      </w:r>
      <w:r>
        <w:rPr>
          <w:rFonts w:cstheme="minorHAnsi"/>
          <w:sz w:val="24"/>
          <w:szCs w:val="24"/>
        </w:rPr>
        <w:t>alle Beschäftigten</w:t>
      </w:r>
      <w:r w:rsidRPr="00924747">
        <w:rPr>
          <w:rFonts w:cstheme="minorHAnsi"/>
          <w:sz w:val="24"/>
          <w:szCs w:val="24"/>
        </w:rPr>
        <w:t xml:space="preserve">, sondern auch </w:t>
      </w:r>
      <w:r w:rsidR="0042747E">
        <w:rPr>
          <w:rFonts w:cstheme="minorHAnsi"/>
          <w:sz w:val="24"/>
          <w:szCs w:val="24"/>
        </w:rPr>
        <w:t xml:space="preserve">die </w:t>
      </w:r>
      <w:r w:rsidRPr="00924747">
        <w:rPr>
          <w:rFonts w:cstheme="minorHAnsi"/>
          <w:sz w:val="24"/>
          <w:szCs w:val="24"/>
        </w:rPr>
        <w:t>Lieferanten, Kunden und Besucher berücksichtigen und idealerweise regelmäßig wiederholt und überprüft werden.</w:t>
      </w:r>
    </w:p>
    <w:p w14:paraId="3D9DFE6C" w14:textId="77777777" w:rsidR="00494840" w:rsidRPr="0042747E" w:rsidRDefault="00494840" w:rsidP="003A7750">
      <w:pPr>
        <w:rPr>
          <w:rFonts w:cstheme="minorHAnsi"/>
          <w:b/>
          <w:bCs/>
          <w:sz w:val="24"/>
          <w:szCs w:val="24"/>
          <w:lang w:val="de-DE"/>
        </w:rPr>
      </w:pPr>
    </w:p>
    <w:p w14:paraId="27D14654" w14:textId="4B79AF58" w:rsidR="003A7750" w:rsidRPr="00924747" w:rsidRDefault="00924747" w:rsidP="003A7750">
      <w:pPr>
        <w:rPr>
          <w:rFonts w:cstheme="minorHAnsi"/>
          <w:b/>
          <w:bCs/>
          <w:sz w:val="24"/>
          <w:szCs w:val="24"/>
          <w:lang w:val="de-DE"/>
        </w:rPr>
      </w:pPr>
      <w:r w:rsidRPr="00924747">
        <w:rPr>
          <w:rFonts w:cstheme="minorHAnsi"/>
          <w:b/>
          <w:bCs/>
          <w:sz w:val="24"/>
          <w:szCs w:val="24"/>
          <w:lang w:val="de-DE"/>
        </w:rPr>
        <w:t>Informationen für Beschäftigte un</w:t>
      </w:r>
      <w:r>
        <w:rPr>
          <w:rFonts w:cstheme="minorHAnsi"/>
          <w:b/>
          <w:bCs/>
          <w:sz w:val="24"/>
          <w:szCs w:val="24"/>
          <w:lang w:val="de-DE"/>
        </w:rPr>
        <w:t>d</w:t>
      </w:r>
      <w:r w:rsidRPr="00924747">
        <w:rPr>
          <w:rFonts w:cstheme="minorHAnsi"/>
          <w:b/>
          <w:bCs/>
          <w:sz w:val="24"/>
          <w:szCs w:val="24"/>
          <w:lang w:val="de-DE"/>
        </w:rPr>
        <w:t xml:space="preserve"> B</w:t>
      </w:r>
      <w:r>
        <w:rPr>
          <w:rFonts w:cstheme="minorHAnsi"/>
          <w:b/>
          <w:bCs/>
          <w:sz w:val="24"/>
          <w:szCs w:val="24"/>
          <w:lang w:val="de-DE"/>
        </w:rPr>
        <w:t>esucher</w:t>
      </w:r>
    </w:p>
    <w:p w14:paraId="4F5CA8E6" w14:textId="77777777" w:rsidR="00924747" w:rsidRPr="00924747" w:rsidRDefault="00924747" w:rsidP="00924747">
      <w:pPr>
        <w:rPr>
          <w:rFonts w:cstheme="minorHAnsi"/>
          <w:sz w:val="24"/>
          <w:szCs w:val="24"/>
          <w:lang w:val="de-DE"/>
        </w:rPr>
      </w:pPr>
      <w:r w:rsidRPr="00924747">
        <w:rPr>
          <w:rFonts w:cstheme="minorHAnsi"/>
          <w:sz w:val="24"/>
          <w:szCs w:val="24"/>
          <w:lang w:val="de-DE"/>
        </w:rPr>
        <w:t xml:space="preserve">Kommunikation ist entscheidend. </w:t>
      </w:r>
    </w:p>
    <w:p w14:paraId="30C86CBA" w14:textId="3E39A477" w:rsidR="00924747" w:rsidRPr="00924747" w:rsidRDefault="00924747" w:rsidP="00924747">
      <w:pPr>
        <w:rPr>
          <w:rFonts w:cstheme="minorHAnsi"/>
          <w:sz w:val="24"/>
          <w:szCs w:val="24"/>
          <w:lang w:val="de-DE"/>
        </w:rPr>
      </w:pPr>
      <w:r w:rsidRPr="00924747">
        <w:rPr>
          <w:rFonts w:cstheme="minorHAnsi"/>
          <w:sz w:val="24"/>
          <w:szCs w:val="24"/>
          <w:lang w:val="de-DE"/>
        </w:rPr>
        <w:t xml:space="preserve">Die Arbeitgeber sind für die Bereitstellung angemessener Informationen und </w:t>
      </w:r>
      <w:r>
        <w:rPr>
          <w:rFonts w:cstheme="minorHAnsi"/>
          <w:sz w:val="24"/>
          <w:szCs w:val="24"/>
          <w:lang w:val="de-DE"/>
        </w:rPr>
        <w:t xml:space="preserve">das Angebot an </w:t>
      </w:r>
      <w:r w:rsidRPr="00924747">
        <w:rPr>
          <w:rFonts w:cstheme="minorHAnsi"/>
          <w:sz w:val="24"/>
          <w:szCs w:val="24"/>
          <w:lang w:val="de-DE"/>
        </w:rPr>
        <w:t>spezifische</w:t>
      </w:r>
      <w:r>
        <w:rPr>
          <w:rFonts w:cstheme="minorHAnsi"/>
          <w:sz w:val="24"/>
          <w:szCs w:val="24"/>
          <w:lang w:val="de-DE"/>
        </w:rPr>
        <w:t>n</w:t>
      </w:r>
      <w:r w:rsidRPr="00924747">
        <w:rPr>
          <w:rFonts w:cstheme="minorHAnsi"/>
          <w:sz w:val="24"/>
          <w:szCs w:val="24"/>
          <w:lang w:val="de-DE"/>
        </w:rPr>
        <w:t xml:space="preserve"> COVID-19-</w:t>
      </w:r>
      <w:r w:rsidR="00D41542">
        <w:rPr>
          <w:rFonts w:cstheme="minorHAnsi"/>
          <w:sz w:val="24"/>
          <w:szCs w:val="24"/>
          <w:lang w:val="de-DE"/>
        </w:rPr>
        <w:t>Unterweisungen</w:t>
      </w:r>
      <w:r w:rsidRPr="00924747">
        <w:rPr>
          <w:rFonts w:cstheme="minorHAnsi"/>
          <w:sz w:val="24"/>
          <w:szCs w:val="24"/>
          <w:lang w:val="de-DE"/>
        </w:rPr>
        <w:t xml:space="preserve"> verantwortlich. Die Arbeitnehmer</w:t>
      </w:r>
      <w:r>
        <w:rPr>
          <w:rFonts w:cstheme="minorHAnsi"/>
          <w:sz w:val="24"/>
          <w:szCs w:val="24"/>
          <w:lang w:val="de-DE"/>
        </w:rPr>
        <w:t>*innen</w:t>
      </w:r>
      <w:r w:rsidRPr="00924747">
        <w:rPr>
          <w:rFonts w:cstheme="minorHAnsi"/>
          <w:sz w:val="24"/>
          <w:szCs w:val="24"/>
          <w:lang w:val="de-DE"/>
        </w:rPr>
        <w:t xml:space="preserve"> </w:t>
      </w:r>
      <w:r>
        <w:rPr>
          <w:rFonts w:cstheme="minorHAnsi"/>
          <w:sz w:val="24"/>
          <w:szCs w:val="24"/>
          <w:lang w:val="de-DE"/>
        </w:rPr>
        <w:t>tragen die Verantwortung dafür</w:t>
      </w:r>
      <w:r w:rsidRPr="00924747">
        <w:rPr>
          <w:rFonts w:cstheme="minorHAnsi"/>
          <w:sz w:val="24"/>
          <w:szCs w:val="24"/>
          <w:lang w:val="de-DE"/>
        </w:rPr>
        <w:t>,</w:t>
      </w:r>
      <w:r>
        <w:rPr>
          <w:rFonts w:cstheme="minorHAnsi"/>
          <w:sz w:val="24"/>
          <w:szCs w:val="24"/>
          <w:lang w:val="de-DE"/>
        </w:rPr>
        <w:t xml:space="preserve"> dass</w:t>
      </w:r>
      <w:r w:rsidRPr="00924747">
        <w:rPr>
          <w:rFonts w:cstheme="minorHAnsi"/>
          <w:sz w:val="24"/>
          <w:szCs w:val="24"/>
          <w:lang w:val="de-DE"/>
        </w:rPr>
        <w:t xml:space="preserve"> festgelegte Verfahren </w:t>
      </w:r>
      <w:r w:rsidR="00EB2922">
        <w:rPr>
          <w:rFonts w:cstheme="minorHAnsi"/>
          <w:sz w:val="24"/>
          <w:szCs w:val="24"/>
          <w:lang w:val="de-DE"/>
        </w:rPr>
        <w:t>befolgt</w:t>
      </w:r>
      <w:r w:rsidRPr="00924747">
        <w:rPr>
          <w:rFonts w:cstheme="minorHAnsi"/>
          <w:sz w:val="24"/>
          <w:szCs w:val="24"/>
          <w:lang w:val="de-DE"/>
        </w:rPr>
        <w:t xml:space="preserve"> </w:t>
      </w:r>
      <w:r w:rsidR="0042747E">
        <w:rPr>
          <w:rFonts w:cstheme="minorHAnsi"/>
          <w:sz w:val="24"/>
          <w:szCs w:val="24"/>
          <w:lang w:val="de-DE"/>
        </w:rPr>
        <w:t xml:space="preserve">werden </w:t>
      </w:r>
      <w:r w:rsidRPr="00924747">
        <w:rPr>
          <w:rFonts w:cstheme="minorHAnsi"/>
          <w:sz w:val="24"/>
          <w:szCs w:val="24"/>
          <w:lang w:val="de-DE"/>
        </w:rPr>
        <w:t xml:space="preserve">und </w:t>
      </w:r>
      <w:r w:rsidR="0042747E">
        <w:rPr>
          <w:rFonts w:cstheme="minorHAnsi"/>
          <w:sz w:val="24"/>
          <w:szCs w:val="24"/>
          <w:lang w:val="de-DE"/>
        </w:rPr>
        <w:t xml:space="preserve">sie </w:t>
      </w:r>
      <w:r w:rsidRPr="00924747">
        <w:rPr>
          <w:rFonts w:cstheme="minorHAnsi"/>
          <w:sz w:val="24"/>
          <w:szCs w:val="24"/>
          <w:lang w:val="de-DE"/>
        </w:rPr>
        <w:t xml:space="preserve">an den vom Arbeitgeber organisierten Schulungen </w:t>
      </w:r>
      <w:r w:rsidR="0042747E">
        <w:rPr>
          <w:rFonts w:cstheme="minorHAnsi"/>
          <w:sz w:val="24"/>
          <w:szCs w:val="24"/>
          <w:lang w:val="de-DE"/>
        </w:rPr>
        <w:t>teilnehmen</w:t>
      </w:r>
      <w:r w:rsidRPr="00924747">
        <w:rPr>
          <w:rFonts w:cstheme="minorHAnsi"/>
          <w:sz w:val="24"/>
          <w:szCs w:val="24"/>
          <w:lang w:val="de-DE"/>
        </w:rPr>
        <w:t>.</w:t>
      </w:r>
    </w:p>
    <w:p w14:paraId="2E995E1C" w14:textId="7CBB208B" w:rsidR="00B263F6" w:rsidRDefault="00924747" w:rsidP="00171B0D">
      <w:pPr>
        <w:rPr>
          <w:rFonts w:cstheme="minorHAnsi"/>
          <w:sz w:val="24"/>
          <w:szCs w:val="24"/>
          <w:lang w:val="de-DE"/>
        </w:rPr>
      </w:pPr>
      <w:r w:rsidRPr="00924747">
        <w:rPr>
          <w:rFonts w:cstheme="minorHAnsi"/>
          <w:sz w:val="24"/>
          <w:szCs w:val="24"/>
          <w:lang w:val="de-DE"/>
        </w:rPr>
        <w:t xml:space="preserve">Jeder, der das </w:t>
      </w:r>
      <w:r w:rsidR="0042747E">
        <w:rPr>
          <w:rFonts w:cstheme="minorHAnsi"/>
          <w:sz w:val="24"/>
          <w:szCs w:val="24"/>
          <w:lang w:val="de-DE"/>
        </w:rPr>
        <w:t>Betriebsg</w:t>
      </w:r>
      <w:r w:rsidRPr="00924747">
        <w:rPr>
          <w:rFonts w:cstheme="minorHAnsi"/>
          <w:sz w:val="24"/>
          <w:szCs w:val="24"/>
          <w:lang w:val="de-DE"/>
        </w:rPr>
        <w:t>elände eines Unternehmens betritt, muss über alle geltenden Vorschriften informiert werden.</w:t>
      </w:r>
    </w:p>
    <w:p w14:paraId="548F4D38" w14:textId="77777777" w:rsidR="00924747" w:rsidRPr="00924747" w:rsidRDefault="00924747" w:rsidP="00171B0D">
      <w:pPr>
        <w:rPr>
          <w:rFonts w:cstheme="minorHAnsi"/>
          <w:sz w:val="24"/>
          <w:szCs w:val="24"/>
          <w:lang w:val="de-DE"/>
        </w:rPr>
      </w:pPr>
    </w:p>
    <w:p w14:paraId="1C8E082F" w14:textId="5E82D2D2" w:rsidR="005F67CF" w:rsidRPr="00A83E87" w:rsidRDefault="00924747" w:rsidP="005F67CF">
      <w:pPr>
        <w:autoSpaceDE w:val="0"/>
        <w:autoSpaceDN w:val="0"/>
        <w:adjustRightInd w:val="0"/>
        <w:rPr>
          <w:rFonts w:cstheme="minorHAnsi"/>
          <w:sz w:val="24"/>
          <w:szCs w:val="24"/>
        </w:rPr>
      </w:pPr>
      <w:r w:rsidRPr="00924747">
        <w:rPr>
          <w:rFonts w:cstheme="minorHAnsi"/>
          <w:b/>
          <w:bCs/>
          <w:sz w:val="24"/>
          <w:szCs w:val="24"/>
          <w:lang w:val="de-DE"/>
        </w:rPr>
        <w:t>Die Pläne sollten Folgendes umfassen</w:t>
      </w:r>
      <w:r w:rsidR="00E33974" w:rsidRPr="00924747">
        <w:rPr>
          <w:rFonts w:cstheme="minorHAnsi"/>
          <w:b/>
          <w:bCs/>
          <w:sz w:val="24"/>
          <w:szCs w:val="24"/>
          <w:lang w:val="de-DE"/>
        </w:rPr>
        <w:t xml:space="preserve">: </w:t>
      </w:r>
    </w:p>
    <w:p w14:paraId="1F926C53" w14:textId="49E90879" w:rsidR="005F67CF" w:rsidRDefault="00924747" w:rsidP="00E33974">
      <w:pPr>
        <w:pStyle w:val="ListParagraph"/>
        <w:numPr>
          <w:ilvl w:val="0"/>
          <w:numId w:val="7"/>
        </w:numPr>
        <w:autoSpaceDE w:val="0"/>
        <w:autoSpaceDN w:val="0"/>
        <w:adjustRightInd w:val="0"/>
        <w:rPr>
          <w:rFonts w:asciiTheme="minorHAnsi" w:eastAsiaTheme="minorEastAsia" w:hAnsiTheme="minorHAnsi" w:cstheme="minorHAnsi"/>
          <w:lang w:val="en-GB"/>
        </w:rPr>
      </w:pPr>
      <w:proofErr w:type="spellStart"/>
      <w:r>
        <w:rPr>
          <w:rFonts w:asciiTheme="minorHAnsi" w:eastAsiaTheme="minorEastAsia" w:hAnsiTheme="minorHAnsi" w:cstheme="minorHAnsi"/>
          <w:lang w:val="en-GB"/>
        </w:rPr>
        <w:t>Hygienemaßnahmen</w:t>
      </w:r>
      <w:proofErr w:type="spellEnd"/>
    </w:p>
    <w:p w14:paraId="7C36BF6B" w14:textId="7A2A7035" w:rsidR="00E33974" w:rsidRPr="00EB2922" w:rsidRDefault="00924747" w:rsidP="00E33974">
      <w:pPr>
        <w:pStyle w:val="ListParagraph"/>
        <w:numPr>
          <w:ilvl w:val="0"/>
          <w:numId w:val="7"/>
        </w:numPr>
        <w:autoSpaceDE w:val="0"/>
        <w:autoSpaceDN w:val="0"/>
        <w:adjustRightInd w:val="0"/>
        <w:rPr>
          <w:rFonts w:asciiTheme="minorHAnsi" w:eastAsiaTheme="minorEastAsia" w:hAnsiTheme="minorHAnsi" w:cstheme="minorHAnsi"/>
          <w:lang w:val="de-DE"/>
        </w:rPr>
      </w:pPr>
      <w:r w:rsidRPr="00EB2922">
        <w:rPr>
          <w:rFonts w:asciiTheme="minorHAnsi" w:eastAsiaTheme="minorEastAsia" w:hAnsiTheme="minorHAnsi" w:cstheme="minorHAnsi"/>
          <w:lang w:val="de-DE"/>
        </w:rPr>
        <w:t>Persönliche Schutzausrüstung</w:t>
      </w:r>
      <w:r w:rsidR="00EB2922" w:rsidRPr="00EB2922">
        <w:rPr>
          <w:rFonts w:asciiTheme="minorHAnsi" w:eastAsiaTheme="minorEastAsia" w:hAnsiTheme="minorHAnsi" w:cstheme="minorHAnsi"/>
          <w:lang w:val="de-DE"/>
        </w:rPr>
        <w:t xml:space="preserve"> für Arbeitsplätze mit einem </w:t>
      </w:r>
      <w:r w:rsidR="00EB2922">
        <w:rPr>
          <w:rFonts w:asciiTheme="minorHAnsi" w:eastAsiaTheme="minorEastAsia" w:hAnsiTheme="minorHAnsi" w:cstheme="minorHAnsi"/>
          <w:lang w:val="de-DE"/>
        </w:rPr>
        <w:t>beruf</w:t>
      </w:r>
      <w:r w:rsidR="00EB2922" w:rsidRPr="00EB2922">
        <w:rPr>
          <w:rFonts w:asciiTheme="minorHAnsi" w:eastAsiaTheme="minorEastAsia" w:hAnsiTheme="minorHAnsi" w:cstheme="minorHAnsi"/>
          <w:lang w:val="de-DE"/>
        </w:rPr>
        <w:t xml:space="preserve">sbedingten Risiko </w:t>
      </w:r>
      <w:r w:rsidR="00EB2922">
        <w:rPr>
          <w:rFonts w:asciiTheme="minorHAnsi" w:eastAsiaTheme="minorEastAsia" w:hAnsiTheme="minorHAnsi" w:cstheme="minorHAnsi"/>
          <w:lang w:val="de-DE"/>
        </w:rPr>
        <w:t>für eine Ansteckung mit</w:t>
      </w:r>
      <w:r w:rsidR="00EB2922" w:rsidRPr="00EB2922">
        <w:rPr>
          <w:rFonts w:asciiTheme="minorHAnsi" w:eastAsiaTheme="minorEastAsia" w:hAnsiTheme="minorHAnsi" w:cstheme="minorHAnsi"/>
          <w:lang w:val="de-DE"/>
        </w:rPr>
        <w:t xml:space="preserve"> COVID-19</w:t>
      </w:r>
    </w:p>
    <w:p w14:paraId="6A1881B2" w14:textId="7A5BC569" w:rsidR="00E33974" w:rsidRDefault="00924747" w:rsidP="00E33974">
      <w:pPr>
        <w:pStyle w:val="ListParagraph"/>
        <w:numPr>
          <w:ilvl w:val="0"/>
          <w:numId w:val="7"/>
        </w:numPr>
        <w:autoSpaceDE w:val="0"/>
        <w:autoSpaceDN w:val="0"/>
        <w:adjustRightInd w:val="0"/>
        <w:rPr>
          <w:rFonts w:asciiTheme="minorHAnsi" w:eastAsiaTheme="minorEastAsia" w:hAnsiTheme="minorHAnsi" w:cstheme="minorHAnsi"/>
          <w:lang w:val="en-GB"/>
        </w:rPr>
      </w:pPr>
      <w:proofErr w:type="spellStart"/>
      <w:r>
        <w:rPr>
          <w:rFonts w:asciiTheme="minorHAnsi" w:eastAsiaTheme="minorEastAsia" w:hAnsiTheme="minorHAnsi" w:cstheme="minorHAnsi"/>
          <w:lang w:val="en-GB"/>
        </w:rPr>
        <w:t>Soziale</w:t>
      </w:r>
      <w:proofErr w:type="spellEnd"/>
      <w:r>
        <w:rPr>
          <w:rFonts w:asciiTheme="minorHAnsi" w:eastAsiaTheme="minorEastAsia" w:hAnsiTheme="minorHAnsi" w:cstheme="minorHAnsi"/>
          <w:lang w:val="en-GB"/>
        </w:rPr>
        <w:t xml:space="preserve"> </w:t>
      </w:r>
      <w:proofErr w:type="spellStart"/>
      <w:r>
        <w:rPr>
          <w:rFonts w:asciiTheme="minorHAnsi" w:eastAsiaTheme="minorEastAsia" w:hAnsiTheme="minorHAnsi" w:cstheme="minorHAnsi"/>
          <w:lang w:val="en-GB"/>
        </w:rPr>
        <w:t>Distanzierung</w:t>
      </w:r>
      <w:proofErr w:type="spellEnd"/>
    </w:p>
    <w:p w14:paraId="2EF7CE4A" w14:textId="45666598" w:rsidR="00E33974" w:rsidRDefault="00924747" w:rsidP="00E33974">
      <w:pPr>
        <w:pStyle w:val="ListParagraph"/>
        <w:numPr>
          <w:ilvl w:val="0"/>
          <w:numId w:val="7"/>
        </w:numPr>
        <w:autoSpaceDE w:val="0"/>
        <w:autoSpaceDN w:val="0"/>
        <w:adjustRightInd w:val="0"/>
        <w:rPr>
          <w:rFonts w:asciiTheme="minorHAnsi" w:eastAsiaTheme="minorEastAsia" w:hAnsiTheme="minorHAnsi" w:cstheme="minorHAnsi"/>
          <w:lang w:val="en-GB"/>
        </w:rPr>
      </w:pPr>
      <w:r>
        <w:rPr>
          <w:rFonts w:asciiTheme="minorHAnsi" w:eastAsiaTheme="minorEastAsia" w:hAnsiTheme="minorHAnsi" w:cstheme="minorHAnsi"/>
          <w:lang w:val="en-GB"/>
        </w:rPr>
        <w:t>Mobile Arb</w:t>
      </w:r>
      <w:r w:rsidR="00F919B6">
        <w:rPr>
          <w:rFonts w:asciiTheme="minorHAnsi" w:eastAsiaTheme="minorEastAsia" w:hAnsiTheme="minorHAnsi" w:cstheme="minorHAnsi"/>
          <w:lang w:val="en-GB"/>
        </w:rPr>
        <w:t>eit</w:t>
      </w:r>
    </w:p>
    <w:p w14:paraId="16A61E71" w14:textId="44672E50" w:rsidR="00E33974" w:rsidRDefault="00E33974" w:rsidP="00E33974">
      <w:pPr>
        <w:pStyle w:val="ListParagraph"/>
        <w:numPr>
          <w:ilvl w:val="0"/>
          <w:numId w:val="7"/>
        </w:numPr>
        <w:autoSpaceDE w:val="0"/>
        <w:autoSpaceDN w:val="0"/>
        <w:adjustRightInd w:val="0"/>
        <w:rPr>
          <w:rFonts w:asciiTheme="minorHAnsi" w:eastAsiaTheme="minorEastAsia" w:hAnsiTheme="minorHAnsi" w:cstheme="minorHAnsi"/>
          <w:lang w:val="en-GB"/>
        </w:rPr>
      </w:pPr>
      <w:r>
        <w:rPr>
          <w:rFonts w:asciiTheme="minorHAnsi" w:eastAsiaTheme="minorEastAsia" w:hAnsiTheme="minorHAnsi" w:cstheme="minorHAnsi"/>
          <w:lang w:val="en-GB"/>
        </w:rPr>
        <w:t xml:space="preserve">Reorganisation </w:t>
      </w:r>
      <w:r w:rsidR="00F919B6">
        <w:rPr>
          <w:rFonts w:asciiTheme="minorHAnsi" w:eastAsiaTheme="minorEastAsia" w:hAnsiTheme="minorHAnsi" w:cstheme="minorHAnsi"/>
          <w:lang w:val="en-GB"/>
        </w:rPr>
        <w:t xml:space="preserve">der </w:t>
      </w:r>
      <w:proofErr w:type="spellStart"/>
      <w:r w:rsidR="00F919B6">
        <w:rPr>
          <w:rFonts w:asciiTheme="minorHAnsi" w:eastAsiaTheme="minorEastAsia" w:hAnsiTheme="minorHAnsi" w:cstheme="minorHAnsi"/>
          <w:lang w:val="en-GB"/>
        </w:rPr>
        <w:t>Arbeitsstunden</w:t>
      </w:r>
      <w:proofErr w:type="spellEnd"/>
      <w:r>
        <w:rPr>
          <w:rFonts w:asciiTheme="minorHAnsi" w:eastAsiaTheme="minorEastAsia" w:hAnsiTheme="minorHAnsi" w:cstheme="minorHAnsi"/>
          <w:lang w:val="en-GB"/>
        </w:rPr>
        <w:t xml:space="preserve">/ </w:t>
      </w:r>
      <w:proofErr w:type="spellStart"/>
      <w:r w:rsidR="00F919B6">
        <w:rPr>
          <w:rFonts w:asciiTheme="minorHAnsi" w:eastAsiaTheme="minorEastAsia" w:hAnsiTheme="minorHAnsi" w:cstheme="minorHAnsi"/>
          <w:lang w:val="en-GB"/>
        </w:rPr>
        <w:t>Schichtsysteme</w:t>
      </w:r>
      <w:proofErr w:type="spellEnd"/>
    </w:p>
    <w:p w14:paraId="45689F09" w14:textId="59A9EC4B" w:rsidR="00D41542" w:rsidRDefault="00D41542" w:rsidP="00D41542">
      <w:pPr>
        <w:pStyle w:val="ListParagraph"/>
        <w:autoSpaceDE w:val="0"/>
        <w:autoSpaceDN w:val="0"/>
        <w:adjustRightInd w:val="0"/>
        <w:ind w:left="360"/>
        <w:rPr>
          <w:rFonts w:asciiTheme="minorHAnsi" w:eastAsiaTheme="minorEastAsia" w:hAnsiTheme="minorHAnsi" w:cstheme="minorHAnsi"/>
          <w:lang w:val="en-GB"/>
        </w:rPr>
      </w:pPr>
    </w:p>
    <w:p w14:paraId="66DAD2C9" w14:textId="77777777" w:rsidR="00D41542" w:rsidRDefault="00D41542" w:rsidP="00D41542">
      <w:pPr>
        <w:pStyle w:val="ListParagraph"/>
        <w:autoSpaceDE w:val="0"/>
        <w:autoSpaceDN w:val="0"/>
        <w:adjustRightInd w:val="0"/>
        <w:ind w:left="360"/>
        <w:rPr>
          <w:rFonts w:asciiTheme="minorHAnsi" w:eastAsiaTheme="minorEastAsia" w:hAnsiTheme="minorHAnsi" w:cstheme="minorHAnsi"/>
          <w:lang w:val="en-GB"/>
        </w:rPr>
      </w:pPr>
    </w:p>
    <w:p w14:paraId="254C1F2F" w14:textId="77777777" w:rsidR="00F919B6" w:rsidRPr="00F919B6" w:rsidRDefault="00F919B6" w:rsidP="00F82756">
      <w:pPr>
        <w:pStyle w:val="ListParagraph"/>
        <w:numPr>
          <w:ilvl w:val="0"/>
          <w:numId w:val="7"/>
        </w:numPr>
        <w:autoSpaceDE w:val="0"/>
        <w:autoSpaceDN w:val="0"/>
        <w:adjustRightInd w:val="0"/>
        <w:rPr>
          <w:rFonts w:eastAsiaTheme="minorEastAsia" w:cstheme="minorHAnsi"/>
          <w:lang w:val="de-DE"/>
        </w:rPr>
      </w:pPr>
      <w:r w:rsidRPr="00F919B6">
        <w:rPr>
          <w:rFonts w:asciiTheme="minorHAnsi" w:eastAsiaTheme="minorEastAsia" w:hAnsiTheme="minorHAnsi" w:cstheme="minorHAnsi"/>
          <w:lang w:val="de-DE"/>
        </w:rPr>
        <w:t>Begrenzung der Personenzahl in Umkleideräumen, Kantinen usw.</w:t>
      </w:r>
    </w:p>
    <w:p w14:paraId="32DED05C" w14:textId="116FF8D6" w:rsidR="00A738D6" w:rsidRPr="00F919B6" w:rsidRDefault="00F919B6" w:rsidP="00F82756">
      <w:pPr>
        <w:pStyle w:val="ListParagraph"/>
        <w:numPr>
          <w:ilvl w:val="0"/>
          <w:numId w:val="7"/>
        </w:numPr>
        <w:autoSpaceDE w:val="0"/>
        <w:autoSpaceDN w:val="0"/>
        <w:adjustRightInd w:val="0"/>
        <w:rPr>
          <w:rFonts w:eastAsiaTheme="minorEastAsia" w:cstheme="minorHAnsi"/>
          <w:lang w:val="de-DE"/>
        </w:rPr>
      </w:pPr>
      <w:r w:rsidRPr="00F919B6">
        <w:rPr>
          <w:rFonts w:asciiTheme="minorHAnsi" w:eastAsiaTheme="minorEastAsia" w:hAnsiTheme="minorHAnsi" w:cstheme="minorHAnsi"/>
          <w:lang w:val="de-DE"/>
        </w:rPr>
        <w:t>Reorganisation der Ein- und A</w:t>
      </w:r>
      <w:r>
        <w:rPr>
          <w:rFonts w:asciiTheme="minorHAnsi" w:eastAsiaTheme="minorEastAsia" w:hAnsiTheme="minorHAnsi" w:cstheme="minorHAnsi"/>
          <w:lang w:val="de-DE"/>
        </w:rPr>
        <w:t>usgänge</w:t>
      </w:r>
    </w:p>
    <w:p w14:paraId="01579CEF" w14:textId="77777777" w:rsidR="00171B0D" w:rsidRPr="00F919B6" w:rsidRDefault="00171B0D" w:rsidP="002D5A73">
      <w:pPr>
        <w:autoSpaceDE w:val="0"/>
        <w:autoSpaceDN w:val="0"/>
        <w:adjustRightInd w:val="0"/>
        <w:spacing w:after="0" w:line="240" w:lineRule="auto"/>
        <w:rPr>
          <w:rFonts w:cstheme="minorHAnsi"/>
          <w:sz w:val="24"/>
          <w:szCs w:val="24"/>
          <w:lang w:val="de-DE"/>
        </w:rPr>
      </w:pPr>
    </w:p>
    <w:p w14:paraId="1ECC9E2B" w14:textId="77777777" w:rsidR="00F919B6" w:rsidRDefault="00F919B6" w:rsidP="00F725BD">
      <w:pPr>
        <w:autoSpaceDE w:val="0"/>
        <w:autoSpaceDN w:val="0"/>
        <w:adjustRightInd w:val="0"/>
        <w:spacing w:after="0" w:line="240" w:lineRule="auto"/>
        <w:rPr>
          <w:rFonts w:cstheme="minorHAnsi"/>
          <w:b/>
          <w:bCs/>
          <w:sz w:val="24"/>
          <w:szCs w:val="24"/>
          <w:lang w:val="en-GB"/>
        </w:rPr>
      </w:pPr>
    </w:p>
    <w:p w14:paraId="502A2B5C" w14:textId="0BB908D2" w:rsidR="00B01CCD" w:rsidRPr="00F919B6" w:rsidRDefault="00F919B6" w:rsidP="00F725BD">
      <w:pPr>
        <w:autoSpaceDE w:val="0"/>
        <w:autoSpaceDN w:val="0"/>
        <w:adjustRightInd w:val="0"/>
        <w:spacing w:after="0" w:line="240" w:lineRule="auto"/>
        <w:rPr>
          <w:rFonts w:cstheme="minorHAnsi"/>
          <w:b/>
          <w:bCs/>
          <w:sz w:val="24"/>
          <w:szCs w:val="24"/>
          <w:lang w:val="de-DE"/>
        </w:rPr>
      </w:pPr>
      <w:r w:rsidRPr="00F919B6">
        <w:rPr>
          <w:rFonts w:cstheme="minorHAnsi"/>
          <w:b/>
          <w:bCs/>
          <w:sz w:val="24"/>
          <w:szCs w:val="24"/>
          <w:lang w:val="de-DE"/>
        </w:rPr>
        <w:t>Sonstige Überlegungen</w:t>
      </w:r>
    </w:p>
    <w:p w14:paraId="135D2D26" w14:textId="77777777" w:rsidR="00B01CCD" w:rsidRPr="00F919B6" w:rsidRDefault="00B01CCD" w:rsidP="00F725BD">
      <w:pPr>
        <w:autoSpaceDE w:val="0"/>
        <w:autoSpaceDN w:val="0"/>
        <w:adjustRightInd w:val="0"/>
        <w:spacing w:after="0" w:line="240" w:lineRule="auto"/>
        <w:rPr>
          <w:rFonts w:cstheme="minorHAnsi"/>
          <w:sz w:val="24"/>
          <w:szCs w:val="24"/>
          <w:lang w:val="de-DE"/>
        </w:rPr>
      </w:pPr>
    </w:p>
    <w:p w14:paraId="53F2D076" w14:textId="50197452" w:rsidR="00F919B6" w:rsidRPr="00F919B6" w:rsidRDefault="00F919B6" w:rsidP="00F919B6">
      <w:pPr>
        <w:rPr>
          <w:rFonts w:cstheme="minorHAnsi"/>
          <w:sz w:val="24"/>
          <w:szCs w:val="24"/>
          <w:lang w:val="de-DE"/>
        </w:rPr>
      </w:pPr>
      <w:r w:rsidRPr="00F919B6">
        <w:rPr>
          <w:rFonts w:cstheme="minorHAnsi"/>
          <w:sz w:val="24"/>
          <w:szCs w:val="24"/>
          <w:lang w:val="de-DE"/>
        </w:rPr>
        <w:t xml:space="preserve">Über die unmittelbar </w:t>
      </w:r>
      <w:r w:rsidR="005845F9">
        <w:rPr>
          <w:rFonts w:cstheme="minorHAnsi"/>
          <w:sz w:val="24"/>
          <w:szCs w:val="24"/>
          <w:lang w:val="de-DE"/>
        </w:rPr>
        <w:t>erkenn</w:t>
      </w:r>
      <w:r w:rsidRPr="00F919B6">
        <w:rPr>
          <w:rFonts w:cstheme="minorHAnsi"/>
          <w:sz w:val="24"/>
          <w:szCs w:val="24"/>
          <w:lang w:val="de-DE"/>
        </w:rPr>
        <w:t xml:space="preserve">baren Risiken und ihre Eindämmung hinaus ermutigen ECEG und industriAll Europe ihre Mitglieder, gemeinsam Folgendes zu untersuchen: mögliche chemische Gefahren, die sich aus dem verstärkten Einsatz von Reinigungs- und Desinfektionsmitteln ergeben, ergonomische Risiken durch ungünstige Körperhaltungen aufgrund unzureichender Einrichtungen und Ausrüstungen (aufgrund von </w:t>
      </w:r>
      <w:r>
        <w:rPr>
          <w:rFonts w:cstheme="minorHAnsi"/>
          <w:sz w:val="24"/>
          <w:szCs w:val="24"/>
          <w:lang w:val="de-DE"/>
        </w:rPr>
        <w:t>notwendiger</w:t>
      </w:r>
      <w:r w:rsidRPr="00F919B6">
        <w:rPr>
          <w:rFonts w:cstheme="minorHAnsi"/>
          <w:sz w:val="24"/>
          <w:szCs w:val="24"/>
          <w:lang w:val="de-DE"/>
        </w:rPr>
        <w:t xml:space="preserve"> Telearbeit), psychosoziale Risiken</w:t>
      </w:r>
      <w:r w:rsidR="000D4324">
        <w:rPr>
          <w:rStyle w:val="FootnoteReference"/>
          <w:rFonts w:cstheme="minorHAnsi"/>
          <w:sz w:val="24"/>
          <w:szCs w:val="24"/>
          <w:lang w:val="de-DE"/>
        </w:rPr>
        <w:footnoteReference w:id="4"/>
      </w:r>
      <w:r w:rsidRPr="00F919B6">
        <w:rPr>
          <w:rFonts w:cstheme="minorHAnsi"/>
          <w:sz w:val="24"/>
          <w:szCs w:val="24"/>
          <w:lang w:val="de-DE"/>
        </w:rPr>
        <w:t xml:space="preserve"> usw.</w:t>
      </w:r>
    </w:p>
    <w:p w14:paraId="253421A9" w14:textId="465DB7CA" w:rsidR="00F919B6" w:rsidRPr="00F919B6" w:rsidRDefault="00F919B6" w:rsidP="00F919B6">
      <w:pPr>
        <w:rPr>
          <w:rFonts w:cstheme="minorHAnsi"/>
          <w:sz w:val="24"/>
          <w:szCs w:val="24"/>
          <w:lang w:val="de-DE"/>
        </w:rPr>
      </w:pPr>
      <w:r w:rsidRPr="005845F9">
        <w:rPr>
          <w:rFonts w:cstheme="minorHAnsi"/>
          <w:sz w:val="24"/>
          <w:szCs w:val="24"/>
          <w:lang w:val="de-DE"/>
        </w:rPr>
        <w:t xml:space="preserve">Die Bedürfnisse von Arbeitnehmer*innen mit </w:t>
      </w:r>
      <w:r w:rsidR="005845F9" w:rsidRPr="005845F9">
        <w:rPr>
          <w:rFonts w:cstheme="minorHAnsi"/>
          <w:sz w:val="24"/>
          <w:szCs w:val="24"/>
          <w:lang w:val="de-DE"/>
        </w:rPr>
        <w:t>höheren</w:t>
      </w:r>
      <w:r w:rsidRPr="005845F9">
        <w:rPr>
          <w:rFonts w:cstheme="minorHAnsi"/>
          <w:sz w:val="24"/>
          <w:szCs w:val="24"/>
          <w:lang w:val="de-DE"/>
        </w:rPr>
        <w:t xml:space="preserve"> Gesundheitsrisiken und/oder besonderen Bedürfnissen müssen berücksichtigt werden. Risikobewertung und entsprechende Maßnahmen sollten </w:t>
      </w:r>
      <w:r w:rsidR="005845F9" w:rsidRPr="005845F9">
        <w:rPr>
          <w:rFonts w:cstheme="minorHAnsi"/>
          <w:sz w:val="24"/>
          <w:szCs w:val="24"/>
          <w:lang w:val="de-DE"/>
        </w:rPr>
        <w:t>g</w:t>
      </w:r>
      <w:r w:rsidRPr="005845F9">
        <w:rPr>
          <w:rFonts w:cstheme="minorHAnsi"/>
          <w:sz w:val="24"/>
          <w:szCs w:val="24"/>
          <w:lang w:val="de-DE"/>
        </w:rPr>
        <w:t>ender-</w:t>
      </w:r>
      <w:r w:rsidR="005845F9" w:rsidRPr="005845F9">
        <w:rPr>
          <w:rFonts w:cstheme="minorHAnsi"/>
          <w:sz w:val="24"/>
          <w:szCs w:val="24"/>
          <w:lang w:val="de-DE"/>
        </w:rPr>
        <w:t>sensitiv</w:t>
      </w:r>
      <w:r w:rsidRPr="005845F9">
        <w:rPr>
          <w:rFonts w:cstheme="minorHAnsi"/>
          <w:sz w:val="24"/>
          <w:szCs w:val="24"/>
          <w:lang w:val="de-DE"/>
        </w:rPr>
        <w:t xml:space="preserve"> sein.</w:t>
      </w:r>
    </w:p>
    <w:p w14:paraId="48509384" w14:textId="5D4C3A67" w:rsidR="000D4324" w:rsidRDefault="005845F9" w:rsidP="00F919B6">
      <w:pPr>
        <w:rPr>
          <w:rFonts w:cstheme="minorHAnsi"/>
          <w:sz w:val="24"/>
          <w:szCs w:val="24"/>
          <w:lang w:val="de-DE"/>
        </w:rPr>
      </w:pPr>
      <w:r>
        <w:rPr>
          <w:rFonts w:cstheme="minorHAnsi"/>
          <w:sz w:val="24"/>
          <w:szCs w:val="24"/>
          <w:lang w:val="de-DE"/>
        </w:rPr>
        <w:t>Arbeitnehmer*innen</w:t>
      </w:r>
      <w:r w:rsidR="00F919B6" w:rsidRPr="00F919B6">
        <w:rPr>
          <w:rFonts w:cstheme="minorHAnsi"/>
          <w:sz w:val="24"/>
          <w:szCs w:val="24"/>
          <w:lang w:val="de-DE"/>
        </w:rPr>
        <w:t xml:space="preserve">, die während einer Gesundheitskrise als gefährdet </w:t>
      </w:r>
      <w:r w:rsidR="00F919B6">
        <w:rPr>
          <w:rFonts w:cstheme="minorHAnsi"/>
          <w:sz w:val="24"/>
          <w:szCs w:val="24"/>
          <w:lang w:val="de-DE"/>
        </w:rPr>
        <w:t>an</w:t>
      </w:r>
      <w:r w:rsidR="00F919B6" w:rsidRPr="00F919B6">
        <w:rPr>
          <w:rFonts w:cstheme="minorHAnsi"/>
          <w:sz w:val="24"/>
          <w:szCs w:val="24"/>
          <w:lang w:val="de-DE"/>
        </w:rPr>
        <w:t xml:space="preserve">erkannt </w:t>
      </w:r>
      <w:r>
        <w:rPr>
          <w:rFonts w:cstheme="minorHAnsi"/>
          <w:sz w:val="24"/>
          <w:szCs w:val="24"/>
          <w:lang w:val="de-DE"/>
        </w:rPr>
        <w:t>sind</w:t>
      </w:r>
      <w:r w:rsidR="00F919B6" w:rsidRPr="00F919B6">
        <w:rPr>
          <w:rFonts w:cstheme="minorHAnsi"/>
          <w:sz w:val="24"/>
          <w:szCs w:val="24"/>
          <w:lang w:val="de-DE"/>
        </w:rPr>
        <w:t xml:space="preserve">, </w:t>
      </w:r>
      <w:r>
        <w:rPr>
          <w:rFonts w:cstheme="minorHAnsi"/>
          <w:sz w:val="24"/>
          <w:szCs w:val="24"/>
          <w:lang w:val="de-DE"/>
        </w:rPr>
        <w:t>dürfen nicht</w:t>
      </w:r>
      <w:r w:rsidR="00F919B6" w:rsidRPr="00F919B6">
        <w:rPr>
          <w:rFonts w:cstheme="minorHAnsi"/>
          <w:sz w:val="24"/>
          <w:szCs w:val="24"/>
          <w:lang w:val="de-DE"/>
        </w:rPr>
        <w:t xml:space="preserve"> entlassen werden. </w:t>
      </w:r>
      <w:r w:rsidR="000D4324" w:rsidRPr="000D4324">
        <w:rPr>
          <w:rFonts w:cstheme="minorHAnsi"/>
          <w:sz w:val="24"/>
          <w:szCs w:val="24"/>
          <w:lang w:val="de-DE"/>
        </w:rPr>
        <w:t>Die europäischen Sozialpartner empfehlen,</w:t>
      </w:r>
      <w:r w:rsidR="000D4324">
        <w:rPr>
          <w:rFonts w:cstheme="minorHAnsi"/>
          <w:sz w:val="24"/>
          <w:szCs w:val="24"/>
          <w:lang w:val="de-DE"/>
        </w:rPr>
        <w:t xml:space="preserve"> auf Unternehmensebene</w:t>
      </w:r>
      <w:r w:rsidR="000D4324" w:rsidRPr="000D4324">
        <w:rPr>
          <w:rFonts w:cstheme="minorHAnsi"/>
          <w:sz w:val="24"/>
          <w:szCs w:val="24"/>
          <w:lang w:val="de-DE"/>
        </w:rPr>
        <w:t xml:space="preserve"> geeignete Maßnahmen für diese Menschen unter Berücksichtigung der individuellen Situation und des Arbeitsplatzes zu diskutieren.</w:t>
      </w:r>
    </w:p>
    <w:p w14:paraId="5F2B02FC" w14:textId="77777777" w:rsidR="00494840" w:rsidRPr="0042747E" w:rsidRDefault="00494840" w:rsidP="003A7750">
      <w:pPr>
        <w:rPr>
          <w:rFonts w:cstheme="minorHAnsi"/>
          <w:b/>
          <w:bCs/>
          <w:sz w:val="24"/>
          <w:szCs w:val="24"/>
          <w:lang w:val="de-DE"/>
        </w:rPr>
      </w:pPr>
    </w:p>
    <w:p w14:paraId="2D1E9B9A" w14:textId="6698A920" w:rsidR="003A7750" w:rsidRPr="00F919B6" w:rsidRDefault="00F919B6" w:rsidP="003A7750">
      <w:pPr>
        <w:rPr>
          <w:rFonts w:cstheme="minorHAnsi"/>
          <w:b/>
          <w:bCs/>
          <w:sz w:val="24"/>
          <w:szCs w:val="24"/>
          <w:lang w:val="de-DE"/>
        </w:rPr>
      </w:pPr>
      <w:r w:rsidRPr="00F919B6">
        <w:rPr>
          <w:rFonts w:cstheme="minorHAnsi"/>
          <w:b/>
          <w:bCs/>
          <w:sz w:val="24"/>
          <w:szCs w:val="24"/>
          <w:lang w:val="de-DE"/>
        </w:rPr>
        <w:t>Verbreit</w:t>
      </w:r>
      <w:r w:rsidR="00D32689">
        <w:rPr>
          <w:rFonts w:cstheme="minorHAnsi"/>
          <w:b/>
          <w:bCs/>
          <w:sz w:val="24"/>
          <w:szCs w:val="24"/>
          <w:lang w:val="de-DE"/>
        </w:rPr>
        <w:t>en</w:t>
      </w:r>
      <w:r w:rsidRPr="00F919B6">
        <w:rPr>
          <w:rFonts w:cstheme="minorHAnsi"/>
          <w:b/>
          <w:bCs/>
          <w:sz w:val="24"/>
          <w:szCs w:val="24"/>
          <w:lang w:val="de-DE"/>
        </w:rPr>
        <w:t xml:space="preserve"> dieser Empfehlungen</w:t>
      </w:r>
      <w:r w:rsidR="003A7750" w:rsidRPr="00F919B6">
        <w:rPr>
          <w:rFonts w:cstheme="minorHAnsi"/>
          <w:b/>
          <w:bCs/>
          <w:sz w:val="24"/>
          <w:szCs w:val="24"/>
          <w:lang w:val="de-DE"/>
        </w:rPr>
        <w:t xml:space="preserve"> </w:t>
      </w:r>
    </w:p>
    <w:p w14:paraId="1E30189B" w14:textId="02B5FB1E" w:rsidR="00F919B6" w:rsidRPr="00F919B6" w:rsidRDefault="00D32689" w:rsidP="00F919B6">
      <w:pPr>
        <w:rPr>
          <w:rFonts w:cstheme="minorHAnsi"/>
          <w:sz w:val="24"/>
          <w:szCs w:val="24"/>
          <w:lang w:val="de-DE"/>
        </w:rPr>
      </w:pPr>
      <w:r>
        <w:rPr>
          <w:rFonts w:cstheme="minorHAnsi"/>
          <w:sz w:val="24"/>
          <w:szCs w:val="24"/>
          <w:lang w:val="de-DE"/>
        </w:rPr>
        <w:t>I</w:t>
      </w:r>
      <w:r w:rsidR="00531BC8" w:rsidRPr="00F919B6">
        <w:rPr>
          <w:rFonts w:cstheme="minorHAnsi"/>
          <w:sz w:val="24"/>
          <w:szCs w:val="24"/>
          <w:lang w:val="de-DE"/>
        </w:rPr>
        <w:t>ndustriAll Europe and ECEG</w:t>
      </w:r>
      <w:r w:rsidR="003A7750" w:rsidRPr="00F919B6">
        <w:rPr>
          <w:rFonts w:cstheme="minorHAnsi"/>
          <w:sz w:val="24"/>
          <w:szCs w:val="24"/>
          <w:lang w:val="de-DE"/>
        </w:rPr>
        <w:t xml:space="preserve"> </w:t>
      </w:r>
      <w:r w:rsidR="00F919B6" w:rsidRPr="00F919B6">
        <w:rPr>
          <w:rFonts w:cstheme="minorHAnsi"/>
          <w:sz w:val="24"/>
          <w:szCs w:val="24"/>
          <w:lang w:val="de-DE"/>
        </w:rPr>
        <w:t>werden diese Empfehlungen unter ihren jeweiligen Mitgliedern verbreiten und fördern</w:t>
      </w:r>
      <w:r w:rsidR="00F919B6">
        <w:rPr>
          <w:rFonts w:cstheme="minorHAnsi"/>
          <w:sz w:val="24"/>
          <w:szCs w:val="24"/>
          <w:lang w:val="de-DE"/>
        </w:rPr>
        <w:t xml:space="preserve"> und dabei die nationalen Praktiken berücksichtigen</w:t>
      </w:r>
      <w:r w:rsidR="00F919B6" w:rsidRPr="00F919B6">
        <w:rPr>
          <w:rFonts w:cstheme="minorHAnsi"/>
          <w:sz w:val="24"/>
          <w:szCs w:val="24"/>
          <w:lang w:val="de-DE"/>
        </w:rPr>
        <w:t xml:space="preserve">. </w:t>
      </w:r>
    </w:p>
    <w:p w14:paraId="09A45C05" w14:textId="73D5452E" w:rsidR="000D4324" w:rsidRDefault="00F919B6" w:rsidP="000D4324">
      <w:pPr>
        <w:rPr>
          <w:rFonts w:cstheme="minorHAnsi"/>
          <w:sz w:val="24"/>
          <w:szCs w:val="24"/>
          <w:lang w:val="de-DE"/>
        </w:rPr>
      </w:pPr>
      <w:r w:rsidRPr="00F919B6">
        <w:rPr>
          <w:rFonts w:cstheme="minorHAnsi"/>
          <w:sz w:val="24"/>
          <w:szCs w:val="24"/>
          <w:lang w:val="de-DE"/>
        </w:rPr>
        <w:t>Den Sozialpartnern auf allen Ebenen kommt eine wichtige Rolle zu, um das Risiko einer Kontamination am Arbeitsplatz zu verringern.</w:t>
      </w:r>
    </w:p>
    <w:p w14:paraId="57CBDF95" w14:textId="77777777" w:rsidR="00D41542" w:rsidRPr="000D4324" w:rsidRDefault="00D41542" w:rsidP="000D4324">
      <w:pPr>
        <w:rPr>
          <w:rFonts w:cstheme="minorHAnsi"/>
          <w:sz w:val="24"/>
          <w:szCs w:val="24"/>
          <w:lang w:val="de-DE"/>
        </w:rPr>
      </w:pPr>
    </w:p>
    <w:p w14:paraId="016AD15C" w14:textId="77777777" w:rsidR="000D4324" w:rsidRDefault="000D4324" w:rsidP="000D4324">
      <w:pPr>
        <w:rPr>
          <w:rFonts w:cstheme="minorHAnsi"/>
          <w:sz w:val="24"/>
          <w:szCs w:val="24"/>
          <w:lang w:val="en-US"/>
        </w:rPr>
      </w:pPr>
      <w:r>
        <w:rPr>
          <w:rFonts w:cstheme="minorHAnsi"/>
          <w:bCs/>
          <w:noProof/>
          <w:lang w:val="en-GB"/>
        </w:rPr>
        <w:drawing>
          <wp:inline distT="0" distB="0" distL="0" distR="0" wp14:anchorId="102CD941" wp14:editId="239741E5">
            <wp:extent cx="1079770" cy="747533"/>
            <wp:effectExtent l="0" t="0" r="0" b="1905"/>
            <wp:docPr id="2" name="Picture 2"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0771" cy="762072"/>
                    </a:xfrm>
                    <a:prstGeom prst="rect">
                      <a:avLst/>
                    </a:prstGeom>
                  </pic:spPr>
                </pic:pic>
              </a:graphicData>
            </a:graphic>
          </wp:inline>
        </w:drawing>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bCs/>
          <w:noProof/>
          <w:lang w:val="en-GB"/>
        </w:rPr>
        <w:drawing>
          <wp:inline distT="0" distB="0" distL="0" distR="0" wp14:anchorId="7CC7B944" wp14:editId="151B660F">
            <wp:extent cx="1333500" cy="546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1333500" cy="546100"/>
                    </a:xfrm>
                    <a:prstGeom prst="rect">
                      <a:avLst/>
                    </a:prstGeom>
                  </pic:spPr>
                </pic:pic>
              </a:graphicData>
            </a:graphic>
          </wp:inline>
        </w:drawing>
      </w:r>
    </w:p>
    <w:p w14:paraId="79EE69F8" w14:textId="77777777" w:rsidR="000D4324" w:rsidRPr="00E03983" w:rsidRDefault="000D4324" w:rsidP="000D4324">
      <w:pPr>
        <w:spacing w:after="0"/>
        <w:rPr>
          <w:rFonts w:cstheme="minorHAnsi"/>
          <w:bCs/>
          <w:lang w:val="en-US"/>
        </w:rPr>
      </w:pPr>
      <w:r w:rsidRPr="0076416C">
        <w:rPr>
          <w:rFonts w:cstheme="minorHAnsi"/>
          <w:bCs/>
          <w:lang w:val="en-GB"/>
        </w:rPr>
        <w:t>Luc Triangle</w:t>
      </w:r>
      <w:r w:rsidRPr="0076416C">
        <w:rPr>
          <w:rFonts w:cstheme="minorHAnsi"/>
          <w:bCs/>
          <w:lang w:val="en-GB"/>
        </w:rPr>
        <w:tab/>
      </w:r>
      <w:r w:rsidRPr="0076416C">
        <w:rPr>
          <w:rFonts w:cstheme="minorHAnsi"/>
          <w:bCs/>
          <w:lang w:val="en-GB"/>
        </w:rPr>
        <w:tab/>
      </w:r>
      <w:r w:rsidRPr="0076416C">
        <w:rPr>
          <w:rFonts w:cstheme="minorHAnsi"/>
          <w:bCs/>
          <w:lang w:val="en-GB"/>
        </w:rPr>
        <w:tab/>
      </w:r>
      <w:r w:rsidRPr="0076416C">
        <w:rPr>
          <w:rFonts w:cstheme="minorHAnsi"/>
          <w:bCs/>
          <w:lang w:val="en-GB"/>
        </w:rPr>
        <w:tab/>
      </w:r>
      <w:r w:rsidRPr="0076416C">
        <w:rPr>
          <w:rFonts w:cstheme="minorHAnsi"/>
          <w:bCs/>
          <w:lang w:val="en-GB"/>
        </w:rPr>
        <w:tab/>
      </w:r>
      <w:r w:rsidRPr="0076416C">
        <w:rPr>
          <w:rFonts w:cstheme="minorHAnsi"/>
          <w:bCs/>
          <w:lang w:val="en-GB"/>
        </w:rPr>
        <w:tab/>
      </w:r>
      <w:r>
        <w:rPr>
          <w:rFonts w:cstheme="minorHAnsi"/>
          <w:bCs/>
          <w:lang w:val="en-GB"/>
        </w:rPr>
        <w:tab/>
      </w:r>
      <w:r w:rsidRPr="00E03983">
        <w:rPr>
          <w:rFonts w:cstheme="minorHAnsi"/>
          <w:bCs/>
          <w:lang w:val="en-US"/>
        </w:rPr>
        <w:t xml:space="preserve">Emma </w:t>
      </w:r>
      <w:proofErr w:type="spellStart"/>
      <w:r w:rsidRPr="00E03983">
        <w:rPr>
          <w:rFonts w:cstheme="minorHAnsi"/>
          <w:bCs/>
          <w:lang w:val="en-US"/>
        </w:rPr>
        <w:t>Argutyan</w:t>
      </w:r>
      <w:proofErr w:type="spellEnd"/>
    </w:p>
    <w:p w14:paraId="61FDDC66" w14:textId="4EB53BC4" w:rsidR="000D4324" w:rsidRPr="000D4324" w:rsidRDefault="000D4324" w:rsidP="000D4324">
      <w:pPr>
        <w:spacing w:after="0"/>
        <w:rPr>
          <w:rFonts w:cstheme="minorHAnsi"/>
          <w:bCs/>
          <w:lang w:val="en-US"/>
        </w:rPr>
      </w:pPr>
      <w:proofErr w:type="spellStart"/>
      <w:r w:rsidRPr="000D4324">
        <w:rPr>
          <w:rFonts w:cstheme="minorHAnsi"/>
          <w:bCs/>
          <w:lang w:val="en-US"/>
        </w:rPr>
        <w:t>Generalsekretär</w:t>
      </w:r>
      <w:proofErr w:type="spellEnd"/>
      <w:r w:rsidRPr="000D4324">
        <w:rPr>
          <w:rFonts w:cstheme="minorHAnsi"/>
          <w:bCs/>
          <w:lang w:val="en-US"/>
        </w:rPr>
        <w:t xml:space="preserve"> </w:t>
      </w:r>
      <w:r w:rsidRPr="000D4324">
        <w:rPr>
          <w:rFonts w:cstheme="minorHAnsi"/>
          <w:bCs/>
          <w:lang w:val="en-US"/>
        </w:rPr>
        <w:tab/>
      </w:r>
      <w:r w:rsidRPr="000D4324">
        <w:rPr>
          <w:rFonts w:cstheme="minorHAnsi"/>
          <w:bCs/>
          <w:lang w:val="en-US"/>
        </w:rPr>
        <w:tab/>
      </w:r>
      <w:r w:rsidRPr="000D4324">
        <w:rPr>
          <w:rFonts w:cstheme="minorHAnsi"/>
          <w:bCs/>
          <w:lang w:val="en-US"/>
        </w:rPr>
        <w:tab/>
      </w:r>
      <w:r w:rsidRPr="000D4324">
        <w:rPr>
          <w:rFonts w:cstheme="minorHAnsi"/>
          <w:bCs/>
          <w:lang w:val="en-US"/>
        </w:rPr>
        <w:tab/>
      </w:r>
      <w:r w:rsidRPr="000D4324">
        <w:rPr>
          <w:rFonts w:cstheme="minorHAnsi"/>
          <w:bCs/>
          <w:lang w:val="en-US"/>
        </w:rPr>
        <w:tab/>
      </w:r>
      <w:r w:rsidRPr="000D4324">
        <w:rPr>
          <w:rFonts w:cstheme="minorHAnsi"/>
          <w:bCs/>
          <w:lang w:val="en-US"/>
        </w:rPr>
        <w:tab/>
      </w:r>
      <w:proofErr w:type="spellStart"/>
      <w:r w:rsidRPr="000D4324">
        <w:rPr>
          <w:rFonts w:cstheme="minorHAnsi"/>
          <w:bCs/>
          <w:lang w:val="en-US"/>
        </w:rPr>
        <w:t>Generaldirektorin</w:t>
      </w:r>
      <w:proofErr w:type="spellEnd"/>
    </w:p>
    <w:p w14:paraId="0514F5F8" w14:textId="606AF563" w:rsidR="000D4324" w:rsidRPr="000D4324" w:rsidRDefault="000D4324" w:rsidP="000D4324">
      <w:pPr>
        <w:spacing w:after="0"/>
        <w:rPr>
          <w:rFonts w:cstheme="minorHAnsi"/>
          <w:bCs/>
          <w:lang w:val="en-US"/>
        </w:rPr>
      </w:pPr>
      <w:proofErr w:type="spellStart"/>
      <w:r w:rsidRPr="000D4324">
        <w:rPr>
          <w:rFonts w:cstheme="minorHAnsi"/>
          <w:bCs/>
          <w:lang w:val="en-US"/>
        </w:rPr>
        <w:t>industriAll</w:t>
      </w:r>
      <w:proofErr w:type="spellEnd"/>
      <w:r w:rsidRPr="000D4324">
        <w:rPr>
          <w:rFonts w:cstheme="minorHAnsi"/>
          <w:bCs/>
          <w:lang w:val="en-US"/>
        </w:rPr>
        <w:t xml:space="preserve"> European</w:t>
      </w:r>
      <w:r w:rsidRPr="000D4324">
        <w:rPr>
          <w:rFonts w:cstheme="minorHAnsi"/>
          <w:bCs/>
          <w:lang w:val="en-US"/>
        </w:rPr>
        <w:tab/>
      </w:r>
      <w:r w:rsidRPr="000D4324">
        <w:rPr>
          <w:rFonts w:cstheme="minorHAnsi"/>
          <w:bCs/>
          <w:lang w:val="en-US"/>
        </w:rPr>
        <w:tab/>
      </w:r>
      <w:r w:rsidRPr="000D4324">
        <w:rPr>
          <w:rFonts w:cstheme="minorHAnsi"/>
          <w:bCs/>
          <w:lang w:val="en-US"/>
        </w:rPr>
        <w:tab/>
        <w:t xml:space="preserve"> </w:t>
      </w:r>
      <w:r w:rsidRPr="000D4324">
        <w:rPr>
          <w:rFonts w:cstheme="minorHAnsi"/>
          <w:bCs/>
          <w:lang w:val="en-US"/>
        </w:rPr>
        <w:tab/>
      </w:r>
      <w:r>
        <w:rPr>
          <w:rFonts w:cstheme="minorHAnsi"/>
          <w:bCs/>
          <w:lang w:val="en-US"/>
        </w:rPr>
        <w:tab/>
      </w:r>
      <w:r>
        <w:rPr>
          <w:rFonts w:cstheme="minorHAnsi"/>
          <w:bCs/>
          <w:lang w:val="en-US"/>
        </w:rPr>
        <w:tab/>
      </w:r>
      <w:proofErr w:type="spellStart"/>
      <w:r>
        <w:rPr>
          <w:rFonts w:cstheme="minorHAnsi"/>
          <w:bCs/>
          <w:lang w:val="en-US"/>
        </w:rPr>
        <w:t>European</w:t>
      </w:r>
      <w:proofErr w:type="spellEnd"/>
      <w:r>
        <w:rPr>
          <w:rFonts w:cstheme="minorHAnsi"/>
          <w:bCs/>
          <w:lang w:val="en-US"/>
        </w:rPr>
        <w:t xml:space="preserve"> </w:t>
      </w:r>
      <w:r w:rsidRPr="00E03983">
        <w:rPr>
          <w:rFonts w:cstheme="minorHAnsi"/>
          <w:bCs/>
          <w:lang w:val="en-US"/>
        </w:rPr>
        <w:t xml:space="preserve">Chemical Employers </w:t>
      </w:r>
      <w:r>
        <w:rPr>
          <w:rFonts w:cstheme="minorHAnsi"/>
          <w:bCs/>
          <w:lang w:val="en-US"/>
        </w:rPr>
        <w:t>Trade Union</w:t>
      </w:r>
      <w:r>
        <w:rPr>
          <w:rFonts w:cstheme="minorHAnsi"/>
          <w:bCs/>
          <w:lang w:val="en-US"/>
        </w:rPr>
        <w:tab/>
      </w:r>
      <w:r>
        <w:rPr>
          <w:rFonts w:cstheme="minorHAnsi"/>
          <w:bCs/>
          <w:lang w:val="en-US"/>
        </w:rPr>
        <w:tab/>
      </w:r>
      <w:r>
        <w:rPr>
          <w:rFonts w:cstheme="minorHAnsi"/>
          <w:bCs/>
          <w:lang w:val="en-US"/>
        </w:rPr>
        <w:tab/>
      </w:r>
      <w:r>
        <w:rPr>
          <w:rFonts w:cstheme="minorHAnsi"/>
          <w:bCs/>
          <w:lang w:val="en-US"/>
        </w:rPr>
        <w:tab/>
      </w:r>
      <w:r>
        <w:rPr>
          <w:rFonts w:cstheme="minorHAnsi"/>
          <w:bCs/>
          <w:lang w:val="en-US"/>
        </w:rPr>
        <w:tab/>
      </w:r>
      <w:r>
        <w:rPr>
          <w:rFonts w:cstheme="minorHAnsi"/>
          <w:bCs/>
          <w:lang w:val="en-US"/>
        </w:rPr>
        <w:tab/>
      </w:r>
      <w:r>
        <w:rPr>
          <w:rFonts w:cstheme="minorHAnsi"/>
          <w:bCs/>
          <w:lang w:val="en-US"/>
        </w:rPr>
        <w:tab/>
      </w:r>
      <w:r w:rsidRPr="00E03983">
        <w:rPr>
          <w:rFonts w:cstheme="minorHAnsi"/>
          <w:bCs/>
          <w:lang w:val="en-US"/>
        </w:rPr>
        <w:t>Group (ECEG)</w:t>
      </w:r>
    </w:p>
    <w:p w14:paraId="229F3CD3" w14:textId="2DFBF3A8" w:rsidR="009D510E" w:rsidRPr="000D4324" w:rsidRDefault="009D510E" w:rsidP="003A7750">
      <w:pPr>
        <w:rPr>
          <w:rFonts w:cstheme="minorHAnsi"/>
          <w:sz w:val="24"/>
          <w:szCs w:val="24"/>
          <w:lang w:val="en-US"/>
        </w:rPr>
      </w:pPr>
    </w:p>
    <w:p w14:paraId="72B713D2" w14:textId="77777777" w:rsidR="000D4324" w:rsidRDefault="000D4324" w:rsidP="000D4324">
      <w:pPr>
        <w:pStyle w:val="EndnoteText"/>
        <w:rPr>
          <w:lang w:val="en-GB"/>
        </w:rPr>
      </w:pPr>
    </w:p>
    <w:p w14:paraId="7C8134C0" w14:textId="7A6A836D" w:rsidR="00563070" w:rsidRPr="009D510E" w:rsidRDefault="00F919B6" w:rsidP="002D5A73">
      <w:pPr>
        <w:rPr>
          <w:rFonts w:cstheme="minorHAnsi"/>
          <w:b/>
          <w:bCs/>
          <w:sz w:val="24"/>
          <w:szCs w:val="24"/>
          <w:lang w:val="de-DE"/>
        </w:rPr>
      </w:pPr>
      <w:r w:rsidRPr="009D510E">
        <w:rPr>
          <w:rFonts w:cstheme="minorHAnsi"/>
          <w:b/>
          <w:bCs/>
          <w:sz w:val="24"/>
          <w:szCs w:val="24"/>
          <w:lang w:val="de-DE"/>
        </w:rPr>
        <w:t>Anhang</w:t>
      </w:r>
      <w:r w:rsidR="00563070" w:rsidRPr="009D510E">
        <w:rPr>
          <w:rFonts w:cstheme="minorHAnsi"/>
          <w:b/>
          <w:bCs/>
          <w:sz w:val="24"/>
          <w:szCs w:val="24"/>
          <w:lang w:val="de-DE"/>
        </w:rPr>
        <w:t>:</w:t>
      </w:r>
    </w:p>
    <w:p w14:paraId="75BE2B5C" w14:textId="13E0BA52" w:rsidR="00D41542" w:rsidRPr="00D41542" w:rsidRDefault="00D41542" w:rsidP="00D41542">
      <w:pPr>
        <w:pStyle w:val="ListParagraph"/>
        <w:numPr>
          <w:ilvl w:val="0"/>
          <w:numId w:val="8"/>
        </w:numPr>
        <w:rPr>
          <w:rFonts w:asciiTheme="minorHAnsi" w:hAnsiTheme="minorHAnsi" w:cstheme="minorHAnsi"/>
          <w:b/>
          <w:bCs/>
          <w:lang w:val="de-DE"/>
        </w:rPr>
      </w:pPr>
      <w:r w:rsidRPr="00D41542">
        <w:rPr>
          <w:rFonts w:asciiTheme="minorHAnsi" w:hAnsiTheme="minorHAnsi" w:cstheme="minorHAnsi"/>
          <w:b/>
          <w:bCs/>
          <w:lang w:val="de-DE"/>
        </w:rPr>
        <w:t>Auf Ebene der M</w:t>
      </w:r>
      <w:r>
        <w:rPr>
          <w:rFonts w:asciiTheme="minorHAnsi" w:hAnsiTheme="minorHAnsi" w:cstheme="minorHAnsi"/>
          <w:b/>
          <w:bCs/>
          <w:lang w:val="de-DE"/>
        </w:rPr>
        <w:t>i</w:t>
      </w:r>
      <w:r w:rsidRPr="00D41542">
        <w:rPr>
          <w:rFonts w:asciiTheme="minorHAnsi" w:hAnsiTheme="minorHAnsi" w:cstheme="minorHAnsi"/>
          <w:b/>
          <w:bCs/>
          <w:lang w:val="de-DE"/>
        </w:rPr>
        <w:t xml:space="preserve">tgliedstaaten </w:t>
      </w:r>
      <w:r>
        <w:rPr>
          <w:rFonts w:asciiTheme="minorHAnsi" w:hAnsiTheme="minorHAnsi" w:cstheme="minorHAnsi"/>
          <w:b/>
          <w:bCs/>
          <w:lang w:val="de-DE"/>
        </w:rPr>
        <w:t xml:space="preserve">gemeinsam von den Sozialpartner oder dreigliedrigen Partnern </w:t>
      </w:r>
      <w:r w:rsidRPr="00D41542">
        <w:rPr>
          <w:rFonts w:asciiTheme="minorHAnsi" w:hAnsiTheme="minorHAnsi" w:cstheme="minorHAnsi"/>
          <w:b/>
          <w:bCs/>
          <w:lang w:val="de-DE"/>
        </w:rPr>
        <w:t xml:space="preserve">veröffentlichte </w:t>
      </w:r>
      <w:r>
        <w:rPr>
          <w:rFonts w:asciiTheme="minorHAnsi" w:hAnsiTheme="minorHAnsi" w:cstheme="minorHAnsi"/>
          <w:b/>
          <w:bCs/>
          <w:lang w:val="de-DE"/>
        </w:rPr>
        <w:t>Leitfäden und Protokolle zum Arbeits- und Gesundheitsschutz</w:t>
      </w:r>
      <w:r w:rsidRPr="00D41542">
        <w:rPr>
          <w:rFonts w:asciiTheme="minorHAnsi" w:hAnsiTheme="minorHAnsi" w:cstheme="minorHAnsi"/>
          <w:b/>
          <w:bCs/>
          <w:lang w:val="de-DE"/>
        </w:rPr>
        <w:t>:</w:t>
      </w:r>
    </w:p>
    <w:p w14:paraId="1B926016" w14:textId="4085A8DF" w:rsidR="00D41542" w:rsidRPr="00D41542" w:rsidRDefault="00D41542" w:rsidP="00D41542">
      <w:pPr>
        <w:pStyle w:val="ListParagraph"/>
        <w:numPr>
          <w:ilvl w:val="0"/>
          <w:numId w:val="9"/>
        </w:numPr>
        <w:rPr>
          <w:rStyle w:val="Hyperlink"/>
          <w:rFonts w:asciiTheme="minorHAnsi" w:hAnsiTheme="minorHAnsi"/>
          <w:lang w:val="de-DE"/>
        </w:rPr>
      </w:pPr>
      <w:r w:rsidRPr="00D41542">
        <w:rPr>
          <w:rFonts w:asciiTheme="minorHAnsi" w:hAnsiTheme="minorHAnsi"/>
          <w:lang w:val="de-DE"/>
        </w:rPr>
        <w:t>Belgi</w:t>
      </w:r>
      <w:r>
        <w:rPr>
          <w:rFonts w:asciiTheme="minorHAnsi" w:hAnsiTheme="minorHAnsi"/>
          <w:lang w:val="de-DE"/>
        </w:rPr>
        <w:t>en</w:t>
      </w:r>
      <w:r w:rsidRPr="00D41542">
        <w:rPr>
          <w:rFonts w:asciiTheme="minorHAnsi" w:hAnsiTheme="minorHAnsi"/>
          <w:lang w:val="de-DE"/>
        </w:rPr>
        <w:t>:  </w:t>
      </w:r>
      <w:hyperlink r:id="rId13" w:history="1">
        <w:r w:rsidRPr="00D41542">
          <w:rPr>
            <w:rStyle w:val="Hyperlink"/>
            <w:rFonts w:asciiTheme="minorHAnsi" w:hAnsiTheme="minorHAnsi"/>
            <w:lang w:val="de-DE"/>
          </w:rPr>
          <w:t>https://internationalview.org/2020/05/02/corona-gids-guide-leitfaden-documentation/</w:t>
        </w:r>
      </w:hyperlink>
    </w:p>
    <w:p w14:paraId="597CE29D" w14:textId="2613EF7E" w:rsidR="00D41542" w:rsidRPr="00065D40" w:rsidRDefault="00D41542" w:rsidP="00D41542">
      <w:pPr>
        <w:pStyle w:val="ListParagraph"/>
        <w:numPr>
          <w:ilvl w:val="0"/>
          <w:numId w:val="9"/>
        </w:numPr>
        <w:rPr>
          <w:rStyle w:val="Hyperlink"/>
          <w:rFonts w:asciiTheme="minorHAnsi" w:hAnsiTheme="minorHAnsi"/>
          <w:lang w:val="it-IT"/>
        </w:rPr>
      </w:pPr>
      <w:r w:rsidRPr="00065D40">
        <w:rPr>
          <w:rFonts w:asciiTheme="minorHAnsi" w:hAnsiTheme="minorHAnsi" w:cstheme="minorHAnsi"/>
          <w:lang w:val="it-IT"/>
        </w:rPr>
        <w:t>Ital</w:t>
      </w:r>
      <w:r>
        <w:rPr>
          <w:rFonts w:asciiTheme="minorHAnsi" w:hAnsiTheme="minorHAnsi" w:cstheme="minorHAnsi"/>
          <w:lang w:val="it-IT"/>
        </w:rPr>
        <w:t>ien</w:t>
      </w:r>
      <w:r w:rsidRPr="00065D40">
        <w:rPr>
          <w:rFonts w:asciiTheme="minorHAnsi" w:hAnsiTheme="minorHAnsi" w:cstheme="minorHAnsi"/>
          <w:lang w:val="it-IT"/>
        </w:rPr>
        <w:t xml:space="preserve">, Federchimica: </w:t>
      </w:r>
      <w:hyperlink r:id="rId14" w:history="1">
        <w:r w:rsidRPr="00065D40">
          <w:rPr>
            <w:rStyle w:val="Hyperlink"/>
            <w:rFonts w:asciiTheme="minorHAnsi" w:hAnsiTheme="minorHAnsi" w:cstheme="minorHAnsi"/>
            <w:lang w:val="it-IT"/>
          </w:rPr>
          <w:t>https://www.confindustria.it/wcm/connect/97e754f1-3e16-4c34-abb3-b94b6ee215ba/Common+regulatory+protocol_24042020_clean.pdf?MOD=AJPERES&amp;CONVERT_TO=url&amp;CACHEID=ROOTWORKSPACE-97e754f1-3e16-4c34-abb3-b94b6ee215ba-n75wSvG</w:t>
        </w:r>
      </w:hyperlink>
    </w:p>
    <w:p w14:paraId="270E8AD6" w14:textId="195F9220" w:rsidR="00D41542" w:rsidRPr="00D41542" w:rsidRDefault="00D41542" w:rsidP="00D41542">
      <w:pPr>
        <w:pStyle w:val="ListParagraph"/>
        <w:numPr>
          <w:ilvl w:val="0"/>
          <w:numId w:val="9"/>
        </w:numPr>
        <w:rPr>
          <w:rFonts w:asciiTheme="minorHAnsi" w:hAnsiTheme="minorHAnsi"/>
          <w:lang w:val="de-DE"/>
        </w:rPr>
      </w:pPr>
      <w:r w:rsidRPr="00065D40">
        <w:rPr>
          <w:rFonts w:asciiTheme="minorHAnsi" w:hAnsiTheme="minorHAnsi" w:cstheme="minorHAnsi"/>
          <w:lang w:val="it-IT"/>
        </w:rPr>
        <w:t>Spa</w:t>
      </w:r>
      <w:r>
        <w:rPr>
          <w:rFonts w:asciiTheme="minorHAnsi" w:hAnsiTheme="minorHAnsi" w:cstheme="minorHAnsi"/>
          <w:lang w:val="it-IT"/>
        </w:rPr>
        <w:t>nien</w:t>
      </w:r>
      <w:r w:rsidRPr="00D41542">
        <w:rPr>
          <w:rFonts w:asciiTheme="minorHAnsi" w:hAnsiTheme="minorHAnsi"/>
          <w:lang w:val="de-DE"/>
        </w:rPr>
        <w:t xml:space="preserve">: </w:t>
      </w:r>
      <w:hyperlink r:id="rId15" w:history="1">
        <w:r w:rsidRPr="00D41542">
          <w:rPr>
            <w:rStyle w:val="Hyperlink"/>
            <w:rFonts w:asciiTheme="minorHAnsi" w:hAnsiTheme="minorHAnsi"/>
            <w:lang w:val="de-DE"/>
          </w:rPr>
          <w:t>https://www.feique.org/pdfs/Recomendaciones-para-la-proteccion-de-la-salud-de-los-trabajadores-frente-al-covid-19-en-la-industria-quimica.pdf</w:t>
        </w:r>
      </w:hyperlink>
    </w:p>
    <w:p w14:paraId="73F0F97F" w14:textId="77777777" w:rsidR="00D41542" w:rsidRPr="00D41542" w:rsidRDefault="00D41542" w:rsidP="00D41542">
      <w:pPr>
        <w:pStyle w:val="ListParagraph"/>
        <w:rPr>
          <w:rFonts w:asciiTheme="minorHAnsi" w:hAnsiTheme="minorHAnsi"/>
          <w:lang w:val="de-DE"/>
        </w:rPr>
      </w:pPr>
    </w:p>
    <w:p w14:paraId="7EA08175" w14:textId="77777777" w:rsidR="00D41542" w:rsidRPr="00D41542" w:rsidRDefault="00D41542" w:rsidP="00D41542">
      <w:pPr>
        <w:pStyle w:val="ListParagraph"/>
        <w:rPr>
          <w:rFonts w:asciiTheme="minorHAnsi" w:hAnsiTheme="minorHAnsi" w:cstheme="minorHAnsi"/>
          <w:b/>
          <w:bCs/>
          <w:lang w:val="de-DE"/>
        </w:rPr>
      </w:pPr>
    </w:p>
    <w:p w14:paraId="6E935D50" w14:textId="78890356" w:rsidR="00D41542" w:rsidRPr="00D41542" w:rsidRDefault="00D41542" w:rsidP="00D41542">
      <w:pPr>
        <w:pStyle w:val="ListParagraph"/>
        <w:numPr>
          <w:ilvl w:val="0"/>
          <w:numId w:val="8"/>
        </w:numPr>
        <w:rPr>
          <w:rFonts w:asciiTheme="minorHAnsi" w:hAnsiTheme="minorHAnsi" w:cstheme="minorHAnsi"/>
          <w:b/>
          <w:bCs/>
          <w:lang w:val="de-DE"/>
        </w:rPr>
      </w:pPr>
      <w:r w:rsidRPr="00D41542">
        <w:rPr>
          <w:rFonts w:asciiTheme="minorHAnsi" w:hAnsiTheme="minorHAnsi" w:cstheme="minorHAnsi"/>
          <w:b/>
          <w:bCs/>
          <w:lang w:val="de-DE"/>
        </w:rPr>
        <w:t>Auf Ebene der M</w:t>
      </w:r>
      <w:r>
        <w:rPr>
          <w:rFonts w:asciiTheme="minorHAnsi" w:hAnsiTheme="minorHAnsi" w:cstheme="minorHAnsi"/>
          <w:b/>
          <w:bCs/>
          <w:lang w:val="de-DE"/>
        </w:rPr>
        <w:t>i</w:t>
      </w:r>
      <w:r w:rsidRPr="00D41542">
        <w:rPr>
          <w:rFonts w:asciiTheme="minorHAnsi" w:hAnsiTheme="minorHAnsi" w:cstheme="minorHAnsi"/>
          <w:b/>
          <w:bCs/>
          <w:lang w:val="de-DE"/>
        </w:rPr>
        <w:t xml:space="preserve">tgliedstaaten </w:t>
      </w:r>
      <w:r>
        <w:rPr>
          <w:rFonts w:asciiTheme="minorHAnsi" w:hAnsiTheme="minorHAnsi" w:cstheme="minorHAnsi"/>
          <w:b/>
          <w:bCs/>
          <w:lang w:val="de-DE"/>
        </w:rPr>
        <w:t xml:space="preserve">von den Arbeitgebern </w:t>
      </w:r>
      <w:r w:rsidRPr="00D41542">
        <w:rPr>
          <w:rFonts w:asciiTheme="minorHAnsi" w:hAnsiTheme="minorHAnsi" w:cstheme="minorHAnsi"/>
          <w:b/>
          <w:bCs/>
          <w:lang w:val="de-DE"/>
        </w:rPr>
        <w:t xml:space="preserve">veröffentlichte </w:t>
      </w:r>
      <w:r>
        <w:rPr>
          <w:rFonts w:asciiTheme="minorHAnsi" w:hAnsiTheme="minorHAnsi" w:cstheme="minorHAnsi"/>
          <w:b/>
          <w:bCs/>
          <w:lang w:val="de-DE"/>
        </w:rPr>
        <w:t>Leitfäden und Protokolle zum Arbeits- und Gesundheitsschutz</w:t>
      </w:r>
      <w:r w:rsidRPr="00D41542">
        <w:rPr>
          <w:rFonts w:asciiTheme="minorHAnsi" w:hAnsiTheme="minorHAnsi" w:cstheme="minorHAnsi"/>
          <w:b/>
          <w:bCs/>
          <w:lang w:val="de-DE"/>
        </w:rPr>
        <w:t>:</w:t>
      </w:r>
    </w:p>
    <w:p w14:paraId="266FB0FD" w14:textId="0F45D7AE" w:rsidR="00D41542" w:rsidRPr="00D41542" w:rsidRDefault="00D41542" w:rsidP="00D41542">
      <w:pPr>
        <w:pStyle w:val="ListParagraph"/>
        <w:numPr>
          <w:ilvl w:val="0"/>
          <w:numId w:val="9"/>
        </w:numPr>
        <w:rPr>
          <w:rFonts w:asciiTheme="minorHAnsi" w:hAnsiTheme="minorHAnsi" w:cstheme="minorHAnsi"/>
          <w:lang w:val="de-DE"/>
        </w:rPr>
      </w:pPr>
      <w:r w:rsidRPr="00D41542">
        <w:rPr>
          <w:rFonts w:asciiTheme="minorHAnsi" w:hAnsiTheme="minorHAnsi" w:cstheme="minorHAnsi"/>
          <w:lang w:val="de-DE"/>
        </w:rPr>
        <w:t>Frankrei</w:t>
      </w:r>
      <w:r>
        <w:rPr>
          <w:rFonts w:asciiTheme="minorHAnsi" w:hAnsiTheme="minorHAnsi" w:cstheme="minorHAnsi"/>
          <w:lang w:val="de-DE"/>
        </w:rPr>
        <w:t>ch</w:t>
      </w:r>
      <w:r w:rsidRPr="00D41542">
        <w:rPr>
          <w:rFonts w:asciiTheme="minorHAnsi" w:hAnsiTheme="minorHAnsi" w:cstheme="minorHAnsi"/>
          <w:lang w:val="de-DE"/>
        </w:rPr>
        <w:t xml:space="preserve">, France Chimie: </w:t>
      </w:r>
      <w:hyperlink r:id="rId16" w:history="1">
        <w:r w:rsidRPr="00D41542">
          <w:rPr>
            <w:rStyle w:val="Hyperlink"/>
            <w:rFonts w:asciiTheme="minorHAnsi" w:hAnsiTheme="minorHAnsi" w:cstheme="minorHAnsi"/>
            <w:lang w:val="de-DE"/>
          </w:rPr>
          <w:t>https://www.francechimie.fr/media/2dd/pratiques-coronavirus-branche-chimie-rev4-2020-07-06.pdf</w:t>
        </w:r>
      </w:hyperlink>
    </w:p>
    <w:p w14:paraId="25E5952E" w14:textId="77777777" w:rsidR="00D41542" w:rsidRPr="00D41542" w:rsidRDefault="00D41542" w:rsidP="00D41542">
      <w:pPr>
        <w:rPr>
          <w:rStyle w:val="Hyperlink"/>
          <w:rFonts w:ascii="Times New Roman" w:hAnsi="Times New Roman" w:cs="Times New Roman"/>
          <w:sz w:val="24"/>
          <w:szCs w:val="24"/>
          <w:lang w:val="de-DE"/>
        </w:rPr>
      </w:pPr>
    </w:p>
    <w:p w14:paraId="7398D32F" w14:textId="37602896" w:rsidR="00D41542" w:rsidRPr="00D41542" w:rsidRDefault="00D41542" w:rsidP="00D41542">
      <w:pPr>
        <w:pStyle w:val="ListParagraph"/>
        <w:numPr>
          <w:ilvl w:val="0"/>
          <w:numId w:val="8"/>
        </w:numPr>
        <w:rPr>
          <w:rFonts w:asciiTheme="minorHAnsi" w:hAnsiTheme="minorHAnsi"/>
          <w:color w:val="0563C1"/>
          <w:u w:val="single"/>
          <w:lang w:val="de-DE"/>
        </w:rPr>
      </w:pPr>
      <w:r w:rsidRPr="00D41542">
        <w:rPr>
          <w:rFonts w:asciiTheme="minorHAnsi" w:hAnsiTheme="minorHAnsi" w:cstheme="minorHAnsi"/>
          <w:b/>
          <w:bCs/>
          <w:lang w:val="de-DE"/>
        </w:rPr>
        <w:t>Auf Ebene der M</w:t>
      </w:r>
      <w:r>
        <w:rPr>
          <w:rFonts w:asciiTheme="minorHAnsi" w:hAnsiTheme="minorHAnsi" w:cstheme="minorHAnsi"/>
          <w:b/>
          <w:bCs/>
          <w:lang w:val="de-DE"/>
        </w:rPr>
        <w:t>i</w:t>
      </w:r>
      <w:r w:rsidRPr="00D41542">
        <w:rPr>
          <w:rFonts w:asciiTheme="minorHAnsi" w:hAnsiTheme="minorHAnsi" w:cstheme="minorHAnsi"/>
          <w:b/>
          <w:bCs/>
          <w:lang w:val="de-DE"/>
        </w:rPr>
        <w:t xml:space="preserve">tgliedstaaten </w:t>
      </w:r>
      <w:r>
        <w:rPr>
          <w:rFonts w:asciiTheme="minorHAnsi" w:hAnsiTheme="minorHAnsi" w:cstheme="minorHAnsi"/>
          <w:b/>
          <w:bCs/>
          <w:lang w:val="de-DE"/>
        </w:rPr>
        <w:t xml:space="preserve">von den Behörden </w:t>
      </w:r>
      <w:r w:rsidRPr="00D41542">
        <w:rPr>
          <w:rFonts w:asciiTheme="minorHAnsi" w:hAnsiTheme="minorHAnsi" w:cstheme="minorHAnsi"/>
          <w:b/>
          <w:bCs/>
          <w:lang w:val="de-DE"/>
        </w:rPr>
        <w:t xml:space="preserve">veröffentlichte </w:t>
      </w:r>
      <w:r>
        <w:rPr>
          <w:rFonts w:asciiTheme="minorHAnsi" w:hAnsiTheme="minorHAnsi" w:cstheme="minorHAnsi"/>
          <w:b/>
          <w:bCs/>
          <w:lang w:val="de-DE"/>
        </w:rPr>
        <w:t>Leitfäden und Protokolle zum Arbeits- und Gesundheitsschutz</w:t>
      </w:r>
      <w:r w:rsidRPr="00D41542">
        <w:rPr>
          <w:rFonts w:asciiTheme="minorHAnsi" w:hAnsiTheme="minorHAnsi" w:cstheme="minorHAnsi"/>
          <w:b/>
          <w:bCs/>
          <w:lang w:val="de-DE"/>
        </w:rPr>
        <w:t xml:space="preserve">: </w:t>
      </w:r>
    </w:p>
    <w:p w14:paraId="48EAAB3C" w14:textId="72D45E7F" w:rsidR="00D41542" w:rsidRPr="00D41542" w:rsidRDefault="00D41542" w:rsidP="00D41542">
      <w:pPr>
        <w:pStyle w:val="ListParagraph"/>
        <w:numPr>
          <w:ilvl w:val="0"/>
          <w:numId w:val="9"/>
        </w:numPr>
        <w:rPr>
          <w:rStyle w:val="Hyperlink"/>
          <w:rFonts w:asciiTheme="minorHAnsi" w:hAnsiTheme="minorHAnsi"/>
          <w:lang w:val="de-DE"/>
        </w:rPr>
      </w:pPr>
      <w:r w:rsidRPr="00D41542">
        <w:rPr>
          <w:rFonts w:asciiTheme="minorHAnsi" w:hAnsiTheme="minorHAnsi"/>
          <w:lang w:val="de-DE"/>
        </w:rPr>
        <w:t>Deut</w:t>
      </w:r>
      <w:r>
        <w:rPr>
          <w:rFonts w:asciiTheme="minorHAnsi" w:hAnsiTheme="minorHAnsi"/>
          <w:lang w:val="de-DE"/>
        </w:rPr>
        <w:t>schland</w:t>
      </w:r>
      <w:r w:rsidRPr="00D41542">
        <w:rPr>
          <w:rFonts w:asciiTheme="minorHAnsi" w:hAnsiTheme="minorHAnsi"/>
          <w:lang w:val="de-DE"/>
        </w:rPr>
        <w:t>:</w:t>
      </w:r>
      <w:r w:rsidRPr="00D41542">
        <w:rPr>
          <w:rStyle w:val="Hyperlink"/>
          <w:rFonts w:asciiTheme="minorHAnsi" w:hAnsiTheme="minorHAnsi"/>
          <w:lang w:val="de-DE"/>
        </w:rPr>
        <w:t xml:space="preserve"> </w:t>
      </w:r>
      <w:hyperlink r:id="rId17" w:history="1">
        <w:r w:rsidRPr="00D41542">
          <w:rPr>
            <w:rStyle w:val="Hyperlink"/>
            <w:rFonts w:asciiTheme="minorHAnsi" w:hAnsiTheme="minorHAnsi"/>
            <w:lang w:val="de-DE"/>
          </w:rPr>
          <w:t>https://www.bmas.de/SharedDocs/Downloads/DE/PDF-Schwerpunkte/sars-cov-2-arbeitsschutzstandard.pdf?__blob=publicationFile&amp;v=1</w:t>
        </w:r>
      </w:hyperlink>
    </w:p>
    <w:p w14:paraId="6DB7EBB2" w14:textId="0BB653AB" w:rsidR="00D41542" w:rsidRPr="00D41542" w:rsidRDefault="00D41542" w:rsidP="00D41542">
      <w:pPr>
        <w:pStyle w:val="ListParagraph"/>
        <w:numPr>
          <w:ilvl w:val="0"/>
          <w:numId w:val="9"/>
        </w:numPr>
        <w:rPr>
          <w:rStyle w:val="Hyperlink"/>
          <w:rFonts w:asciiTheme="minorHAnsi" w:hAnsiTheme="minorHAnsi" w:cstheme="minorHAnsi"/>
          <w:lang w:val="de-DE"/>
        </w:rPr>
      </w:pPr>
      <w:r>
        <w:rPr>
          <w:rFonts w:asciiTheme="minorHAnsi" w:hAnsiTheme="minorHAnsi" w:cstheme="minorHAnsi"/>
          <w:lang w:val="it-IT"/>
        </w:rPr>
        <w:t>Deutschland</w:t>
      </w:r>
      <w:r w:rsidRPr="005A4A04">
        <w:rPr>
          <w:rFonts w:cstheme="minorHAnsi"/>
          <w:lang w:val="it-IT"/>
        </w:rPr>
        <w:t xml:space="preserve">: </w:t>
      </w:r>
      <w:hyperlink r:id="rId18" w:history="1">
        <w:r w:rsidRPr="005A4A04">
          <w:rPr>
            <w:rStyle w:val="Hyperlink"/>
            <w:rFonts w:asciiTheme="minorHAnsi" w:hAnsiTheme="minorHAnsi" w:cstheme="minorHAnsi"/>
            <w:lang w:val="it-IT"/>
          </w:rPr>
          <w:t>https://www.bgrci.de/praevention/coronavirus/</w:t>
        </w:r>
      </w:hyperlink>
      <w:r w:rsidRPr="005A4A04">
        <w:rPr>
          <w:rFonts w:cstheme="minorHAnsi"/>
          <w:lang w:val="it-IT"/>
        </w:rPr>
        <w:t xml:space="preserve"> </w:t>
      </w:r>
    </w:p>
    <w:p w14:paraId="52B6DA89" w14:textId="4807FE93" w:rsidR="002507AA" w:rsidRPr="00A83E87" w:rsidRDefault="002507AA" w:rsidP="00D41542">
      <w:pPr>
        <w:pStyle w:val="ListParagraph"/>
        <w:rPr>
          <w:rFonts w:cstheme="minorHAnsi"/>
        </w:rPr>
      </w:pPr>
    </w:p>
    <w:sectPr w:rsidR="002507AA" w:rsidRPr="00A83E87">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6BBAC" w14:textId="77777777" w:rsidR="00106A86" w:rsidRDefault="00106A86" w:rsidP="005433E6">
      <w:pPr>
        <w:spacing w:after="0" w:line="240" w:lineRule="auto"/>
      </w:pPr>
      <w:r>
        <w:separator/>
      </w:r>
    </w:p>
  </w:endnote>
  <w:endnote w:type="continuationSeparator" w:id="0">
    <w:p w14:paraId="32FDA4CA" w14:textId="77777777" w:rsidR="00106A86" w:rsidRDefault="00106A86" w:rsidP="0054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821D7" w14:textId="77777777" w:rsidR="00106A86" w:rsidRDefault="00106A86" w:rsidP="005433E6">
      <w:pPr>
        <w:spacing w:after="0" w:line="240" w:lineRule="auto"/>
      </w:pPr>
      <w:r>
        <w:separator/>
      </w:r>
    </w:p>
  </w:footnote>
  <w:footnote w:type="continuationSeparator" w:id="0">
    <w:p w14:paraId="6AAC3F5B" w14:textId="77777777" w:rsidR="00106A86" w:rsidRDefault="00106A86" w:rsidP="005433E6">
      <w:pPr>
        <w:spacing w:after="0" w:line="240" w:lineRule="auto"/>
      </w:pPr>
      <w:r>
        <w:continuationSeparator/>
      </w:r>
    </w:p>
  </w:footnote>
  <w:footnote w:id="1">
    <w:p w14:paraId="644ABE69" w14:textId="77777777" w:rsidR="004A16AB" w:rsidRPr="00F82756" w:rsidRDefault="004A16AB" w:rsidP="004A16AB">
      <w:pPr>
        <w:pStyle w:val="FootnoteText"/>
        <w:rPr>
          <w:lang w:val="en-GB"/>
        </w:rPr>
      </w:pPr>
      <w:r>
        <w:rPr>
          <w:rStyle w:val="FootnoteReference"/>
        </w:rPr>
        <w:footnoteRef/>
      </w:r>
      <w:r w:rsidRPr="00992DD9">
        <w:rPr>
          <w:lang w:val="en-US"/>
        </w:rPr>
        <w:t xml:space="preserve"> </w:t>
      </w:r>
      <w:hyperlink r:id="rId1" w:history="1">
        <w:r w:rsidRPr="00992DD9">
          <w:rPr>
            <w:rStyle w:val="Hyperlink"/>
            <w:lang w:val="en-US"/>
          </w:rPr>
          <w:t>EU-OSHA: COVID-19: Back to the workplace -Adapting workplaces and protecting workers</w:t>
        </w:r>
      </w:hyperlink>
    </w:p>
  </w:footnote>
  <w:footnote w:id="2">
    <w:p w14:paraId="0916158C" w14:textId="77777777" w:rsidR="004A16AB" w:rsidRPr="00F82756" w:rsidRDefault="004A16AB" w:rsidP="004A16AB">
      <w:pPr>
        <w:pStyle w:val="FootnoteText"/>
        <w:rPr>
          <w:lang w:val="en-GB"/>
        </w:rPr>
      </w:pPr>
      <w:r>
        <w:rPr>
          <w:rStyle w:val="FootnoteReference"/>
        </w:rPr>
        <w:footnoteRef/>
      </w:r>
      <w:r w:rsidRPr="00992DD9">
        <w:rPr>
          <w:lang w:val="en-US"/>
        </w:rPr>
        <w:t xml:space="preserve"> </w:t>
      </w:r>
      <w:hyperlink r:id="rId2" w:history="1">
        <w:r w:rsidRPr="00992DD9">
          <w:rPr>
            <w:rStyle w:val="Hyperlink"/>
            <w:lang w:val="en-US"/>
          </w:rPr>
          <w:t>ILO: A safe and healthy return to work during the COVID-19 pandemic</w:t>
        </w:r>
      </w:hyperlink>
    </w:p>
  </w:footnote>
  <w:footnote w:id="3">
    <w:p w14:paraId="62623F39" w14:textId="2E410C1C" w:rsidR="000D4324" w:rsidRPr="000D4324" w:rsidRDefault="000D4324" w:rsidP="000D4324">
      <w:pPr>
        <w:pStyle w:val="EndnoteText"/>
        <w:rPr>
          <w:rStyle w:val="tlid-translation"/>
          <w:lang w:val="de-DE"/>
        </w:rPr>
      </w:pPr>
      <w:r>
        <w:rPr>
          <w:rStyle w:val="FootnoteReference"/>
        </w:rPr>
        <w:footnoteRef/>
      </w:r>
      <w:r>
        <w:t xml:space="preserve"> </w:t>
      </w:r>
      <w:r w:rsidRPr="000D4324">
        <w:rPr>
          <w:rStyle w:val="tlid-translation"/>
          <w:lang w:val="de-DE"/>
        </w:rPr>
        <w:t xml:space="preserve">COVID-19 wurde von der Europäischen Kommission in die Risikogruppe 3 der biologischen </w:t>
      </w:r>
      <w:r>
        <w:rPr>
          <w:rStyle w:val="tlid-translation"/>
          <w:lang w:val="de-DE"/>
        </w:rPr>
        <w:t>Wirk</w:t>
      </w:r>
      <w:r w:rsidRPr="000D4324">
        <w:rPr>
          <w:rStyle w:val="tlid-translation"/>
          <w:lang w:val="de-DE"/>
        </w:rPr>
        <w:t xml:space="preserve">stoffe eingestuft. Die Mitgliedstaaten haben fünf Monate Zeit, diese Änderung in ihre nationale Gesetzgebung umzusetzen. Diese Einstufung bedeutet unter anderem, dass der Arbeitgeber nur an den Arbeitsplätzen, an denen das Vorhandensein des biologischen </w:t>
      </w:r>
      <w:r w:rsidR="00D41542">
        <w:rPr>
          <w:rStyle w:val="tlid-translation"/>
          <w:lang w:val="de-DE"/>
        </w:rPr>
        <w:t>Wirk</w:t>
      </w:r>
      <w:r w:rsidRPr="000D4324">
        <w:rPr>
          <w:rStyle w:val="tlid-translation"/>
          <w:lang w:val="de-DE"/>
        </w:rPr>
        <w:t>stoffes eine Besonderheit der Arbeit selbst darstellt (d.h. Krankenhäuser, Labors usw.), eine Risikobewertung durchführen lassen muss.</w:t>
      </w:r>
    </w:p>
    <w:p w14:paraId="081DE819" w14:textId="5B3BD267" w:rsidR="000D4324" w:rsidRPr="000D4324" w:rsidRDefault="000D4324" w:rsidP="000D4324">
      <w:pPr>
        <w:pStyle w:val="EndnoteText"/>
        <w:rPr>
          <w:lang w:val="de-DE"/>
        </w:rPr>
      </w:pPr>
    </w:p>
  </w:footnote>
  <w:footnote w:id="4">
    <w:p w14:paraId="7B904693" w14:textId="21736D1F" w:rsidR="000D4324" w:rsidRPr="00D41542" w:rsidRDefault="000D4324">
      <w:pPr>
        <w:pStyle w:val="FootnoteText"/>
        <w:rPr>
          <w:lang w:val="de-DE"/>
        </w:rPr>
      </w:pPr>
      <w:r>
        <w:rPr>
          <w:rStyle w:val="FootnoteReference"/>
        </w:rPr>
        <w:footnoteRef/>
      </w:r>
      <w:r>
        <w:t xml:space="preserve"> </w:t>
      </w:r>
      <w:r w:rsidR="00D41542" w:rsidRPr="00D41542">
        <w:rPr>
          <w:lang w:val="de-DE"/>
        </w:rPr>
        <w:t>Die Sozialpartner sind sich bewusst, dass es in Europa unterschiedliche Definitionen und rechtliche Rahmenbedingungen gibt</w:t>
      </w:r>
      <w:r w:rsidRPr="00D41542">
        <w:rPr>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FF7FD" w14:textId="7311BAAF" w:rsidR="00992DD9" w:rsidRDefault="00992DD9">
    <w:pPr>
      <w:pStyle w:val="Header"/>
    </w:pPr>
    <w:r>
      <w:rPr>
        <w:noProof/>
        <w:lang w:eastAsia="zh-CN"/>
      </w:rPr>
      <w:drawing>
        <wp:anchor distT="0" distB="0" distL="114300" distR="114300" simplePos="0" relativeHeight="251659264" behindDoc="0" locked="0" layoutInCell="1" allowOverlap="1" wp14:anchorId="1F70C672" wp14:editId="67EFCF20">
          <wp:simplePos x="0" y="0"/>
          <wp:positionH relativeFrom="column">
            <wp:posOffset>3848100</wp:posOffset>
          </wp:positionH>
          <wp:positionV relativeFrom="paragraph">
            <wp:posOffset>7620</wp:posOffset>
          </wp:positionV>
          <wp:extent cx="2097405" cy="876300"/>
          <wp:effectExtent l="0" t="0" r="0" b="0"/>
          <wp:wrapSquare wrapText="bothSides"/>
          <wp:docPr id="4" name="Picture 4" descr="O:\WSlade\Indus logo ART vect 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WSlade\Indus logo ART vect PANT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0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inline distT="0" distB="0" distL="0" distR="0" wp14:anchorId="180C3628" wp14:editId="01BAF0B1">
          <wp:extent cx="800100" cy="800100"/>
          <wp:effectExtent l="0" t="0" r="0" b="0"/>
          <wp:docPr id="3" name="Picture 3" descr="ECEG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EG_logo_new"/>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1591" cy="8015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E31C5"/>
    <w:multiLevelType w:val="hybridMultilevel"/>
    <w:tmpl w:val="096A85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9F4583F"/>
    <w:multiLevelType w:val="hybridMultilevel"/>
    <w:tmpl w:val="7AB4C6C2"/>
    <w:lvl w:ilvl="0" w:tplc="8CEA8C4C">
      <w:start w:val="1"/>
      <w:numFmt w:val="bullet"/>
      <w:lvlText w:val=""/>
      <w:lvlJc w:val="left"/>
      <w:pPr>
        <w:tabs>
          <w:tab w:val="num" w:pos="720"/>
        </w:tabs>
        <w:ind w:left="720" w:hanging="360"/>
      </w:pPr>
      <w:rPr>
        <w:rFonts w:ascii="Wingdings" w:hAnsi="Wingdings" w:hint="default"/>
      </w:rPr>
    </w:lvl>
    <w:lvl w:ilvl="1" w:tplc="B0F431CE">
      <w:numFmt w:val="bullet"/>
      <w:lvlText w:val="•"/>
      <w:lvlJc w:val="left"/>
      <w:pPr>
        <w:tabs>
          <w:tab w:val="num" w:pos="1440"/>
        </w:tabs>
        <w:ind w:left="1440" w:hanging="360"/>
      </w:pPr>
      <w:rPr>
        <w:rFonts w:ascii="Arial" w:hAnsi="Arial" w:hint="default"/>
      </w:rPr>
    </w:lvl>
    <w:lvl w:ilvl="2" w:tplc="24D463E0" w:tentative="1">
      <w:start w:val="1"/>
      <w:numFmt w:val="bullet"/>
      <w:lvlText w:val=""/>
      <w:lvlJc w:val="left"/>
      <w:pPr>
        <w:tabs>
          <w:tab w:val="num" w:pos="2160"/>
        </w:tabs>
        <w:ind w:left="2160" w:hanging="360"/>
      </w:pPr>
      <w:rPr>
        <w:rFonts w:ascii="Wingdings" w:hAnsi="Wingdings" w:hint="default"/>
      </w:rPr>
    </w:lvl>
    <w:lvl w:ilvl="3" w:tplc="F6CCA49C" w:tentative="1">
      <w:start w:val="1"/>
      <w:numFmt w:val="bullet"/>
      <w:lvlText w:val=""/>
      <w:lvlJc w:val="left"/>
      <w:pPr>
        <w:tabs>
          <w:tab w:val="num" w:pos="2880"/>
        </w:tabs>
        <w:ind w:left="2880" w:hanging="360"/>
      </w:pPr>
      <w:rPr>
        <w:rFonts w:ascii="Wingdings" w:hAnsi="Wingdings" w:hint="default"/>
      </w:rPr>
    </w:lvl>
    <w:lvl w:ilvl="4" w:tplc="699E3DE2" w:tentative="1">
      <w:start w:val="1"/>
      <w:numFmt w:val="bullet"/>
      <w:lvlText w:val=""/>
      <w:lvlJc w:val="left"/>
      <w:pPr>
        <w:tabs>
          <w:tab w:val="num" w:pos="3600"/>
        </w:tabs>
        <w:ind w:left="3600" w:hanging="360"/>
      </w:pPr>
      <w:rPr>
        <w:rFonts w:ascii="Wingdings" w:hAnsi="Wingdings" w:hint="default"/>
      </w:rPr>
    </w:lvl>
    <w:lvl w:ilvl="5" w:tplc="8A58E9FE" w:tentative="1">
      <w:start w:val="1"/>
      <w:numFmt w:val="bullet"/>
      <w:lvlText w:val=""/>
      <w:lvlJc w:val="left"/>
      <w:pPr>
        <w:tabs>
          <w:tab w:val="num" w:pos="4320"/>
        </w:tabs>
        <w:ind w:left="4320" w:hanging="360"/>
      </w:pPr>
      <w:rPr>
        <w:rFonts w:ascii="Wingdings" w:hAnsi="Wingdings" w:hint="default"/>
      </w:rPr>
    </w:lvl>
    <w:lvl w:ilvl="6" w:tplc="461295B8" w:tentative="1">
      <w:start w:val="1"/>
      <w:numFmt w:val="bullet"/>
      <w:lvlText w:val=""/>
      <w:lvlJc w:val="left"/>
      <w:pPr>
        <w:tabs>
          <w:tab w:val="num" w:pos="5040"/>
        </w:tabs>
        <w:ind w:left="5040" w:hanging="360"/>
      </w:pPr>
      <w:rPr>
        <w:rFonts w:ascii="Wingdings" w:hAnsi="Wingdings" w:hint="default"/>
      </w:rPr>
    </w:lvl>
    <w:lvl w:ilvl="7" w:tplc="3F725520" w:tentative="1">
      <w:start w:val="1"/>
      <w:numFmt w:val="bullet"/>
      <w:lvlText w:val=""/>
      <w:lvlJc w:val="left"/>
      <w:pPr>
        <w:tabs>
          <w:tab w:val="num" w:pos="5760"/>
        </w:tabs>
        <w:ind w:left="5760" w:hanging="360"/>
      </w:pPr>
      <w:rPr>
        <w:rFonts w:ascii="Wingdings" w:hAnsi="Wingdings" w:hint="default"/>
      </w:rPr>
    </w:lvl>
    <w:lvl w:ilvl="8" w:tplc="0EF4296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FB3932"/>
    <w:multiLevelType w:val="hybridMultilevel"/>
    <w:tmpl w:val="EE46767A"/>
    <w:lvl w:ilvl="0" w:tplc="6F56C2CE">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BED3B2B"/>
    <w:multiLevelType w:val="hybridMultilevel"/>
    <w:tmpl w:val="40F8C5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1372964"/>
    <w:multiLevelType w:val="hybridMultilevel"/>
    <w:tmpl w:val="2234965E"/>
    <w:lvl w:ilvl="0" w:tplc="25BC0C34">
      <w:start w:val="1"/>
      <w:numFmt w:val="decimal"/>
      <w:lvlText w:val="%1."/>
      <w:lvlJc w:val="left"/>
      <w:pPr>
        <w:tabs>
          <w:tab w:val="num" w:pos="720"/>
        </w:tabs>
        <w:ind w:left="720" w:hanging="360"/>
      </w:pPr>
      <w:rPr>
        <w:rFonts w:ascii="Calibri" w:eastAsiaTheme="minorHAnsi" w:hAnsi="Calibri" w:cs="Calibri"/>
      </w:rPr>
    </w:lvl>
    <w:lvl w:ilvl="1" w:tplc="A9BC0B92" w:tentative="1">
      <w:start w:val="1"/>
      <w:numFmt w:val="bullet"/>
      <w:lvlText w:val=""/>
      <w:lvlJc w:val="left"/>
      <w:pPr>
        <w:tabs>
          <w:tab w:val="num" w:pos="1440"/>
        </w:tabs>
        <w:ind w:left="1440" w:hanging="360"/>
      </w:pPr>
      <w:rPr>
        <w:rFonts w:ascii="Wingdings" w:hAnsi="Wingdings" w:hint="default"/>
      </w:rPr>
    </w:lvl>
    <w:lvl w:ilvl="2" w:tplc="212AA13E" w:tentative="1">
      <w:start w:val="1"/>
      <w:numFmt w:val="bullet"/>
      <w:lvlText w:val=""/>
      <w:lvlJc w:val="left"/>
      <w:pPr>
        <w:tabs>
          <w:tab w:val="num" w:pos="2160"/>
        </w:tabs>
        <w:ind w:left="2160" w:hanging="360"/>
      </w:pPr>
      <w:rPr>
        <w:rFonts w:ascii="Wingdings" w:hAnsi="Wingdings" w:hint="default"/>
      </w:rPr>
    </w:lvl>
    <w:lvl w:ilvl="3" w:tplc="333AA4DC" w:tentative="1">
      <w:start w:val="1"/>
      <w:numFmt w:val="bullet"/>
      <w:lvlText w:val=""/>
      <w:lvlJc w:val="left"/>
      <w:pPr>
        <w:tabs>
          <w:tab w:val="num" w:pos="2880"/>
        </w:tabs>
        <w:ind w:left="2880" w:hanging="360"/>
      </w:pPr>
      <w:rPr>
        <w:rFonts w:ascii="Wingdings" w:hAnsi="Wingdings" w:hint="default"/>
      </w:rPr>
    </w:lvl>
    <w:lvl w:ilvl="4" w:tplc="27F43CBE" w:tentative="1">
      <w:start w:val="1"/>
      <w:numFmt w:val="bullet"/>
      <w:lvlText w:val=""/>
      <w:lvlJc w:val="left"/>
      <w:pPr>
        <w:tabs>
          <w:tab w:val="num" w:pos="3600"/>
        </w:tabs>
        <w:ind w:left="3600" w:hanging="360"/>
      </w:pPr>
      <w:rPr>
        <w:rFonts w:ascii="Wingdings" w:hAnsi="Wingdings" w:hint="default"/>
      </w:rPr>
    </w:lvl>
    <w:lvl w:ilvl="5" w:tplc="AA482B82" w:tentative="1">
      <w:start w:val="1"/>
      <w:numFmt w:val="bullet"/>
      <w:lvlText w:val=""/>
      <w:lvlJc w:val="left"/>
      <w:pPr>
        <w:tabs>
          <w:tab w:val="num" w:pos="4320"/>
        </w:tabs>
        <w:ind w:left="4320" w:hanging="360"/>
      </w:pPr>
      <w:rPr>
        <w:rFonts w:ascii="Wingdings" w:hAnsi="Wingdings" w:hint="default"/>
      </w:rPr>
    </w:lvl>
    <w:lvl w:ilvl="6" w:tplc="813A131C" w:tentative="1">
      <w:start w:val="1"/>
      <w:numFmt w:val="bullet"/>
      <w:lvlText w:val=""/>
      <w:lvlJc w:val="left"/>
      <w:pPr>
        <w:tabs>
          <w:tab w:val="num" w:pos="5040"/>
        </w:tabs>
        <w:ind w:left="5040" w:hanging="360"/>
      </w:pPr>
      <w:rPr>
        <w:rFonts w:ascii="Wingdings" w:hAnsi="Wingdings" w:hint="default"/>
      </w:rPr>
    </w:lvl>
    <w:lvl w:ilvl="7" w:tplc="55982284" w:tentative="1">
      <w:start w:val="1"/>
      <w:numFmt w:val="bullet"/>
      <w:lvlText w:val=""/>
      <w:lvlJc w:val="left"/>
      <w:pPr>
        <w:tabs>
          <w:tab w:val="num" w:pos="5760"/>
        </w:tabs>
        <w:ind w:left="5760" w:hanging="360"/>
      </w:pPr>
      <w:rPr>
        <w:rFonts w:ascii="Wingdings" w:hAnsi="Wingdings" w:hint="default"/>
      </w:rPr>
    </w:lvl>
    <w:lvl w:ilvl="8" w:tplc="917A63A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553061"/>
    <w:multiLevelType w:val="hybridMultilevel"/>
    <w:tmpl w:val="2234965E"/>
    <w:lvl w:ilvl="0" w:tplc="25BC0C34">
      <w:start w:val="1"/>
      <w:numFmt w:val="decimal"/>
      <w:lvlText w:val="%1."/>
      <w:lvlJc w:val="left"/>
      <w:pPr>
        <w:tabs>
          <w:tab w:val="num" w:pos="720"/>
        </w:tabs>
        <w:ind w:left="720" w:hanging="360"/>
      </w:pPr>
      <w:rPr>
        <w:rFonts w:ascii="Calibri" w:eastAsiaTheme="minorHAnsi" w:hAnsi="Calibri" w:cs="Calibri"/>
      </w:rPr>
    </w:lvl>
    <w:lvl w:ilvl="1" w:tplc="A9BC0B92" w:tentative="1">
      <w:start w:val="1"/>
      <w:numFmt w:val="bullet"/>
      <w:lvlText w:val=""/>
      <w:lvlJc w:val="left"/>
      <w:pPr>
        <w:tabs>
          <w:tab w:val="num" w:pos="1440"/>
        </w:tabs>
        <w:ind w:left="1440" w:hanging="360"/>
      </w:pPr>
      <w:rPr>
        <w:rFonts w:ascii="Wingdings" w:hAnsi="Wingdings" w:hint="default"/>
      </w:rPr>
    </w:lvl>
    <w:lvl w:ilvl="2" w:tplc="212AA13E" w:tentative="1">
      <w:start w:val="1"/>
      <w:numFmt w:val="bullet"/>
      <w:lvlText w:val=""/>
      <w:lvlJc w:val="left"/>
      <w:pPr>
        <w:tabs>
          <w:tab w:val="num" w:pos="2160"/>
        </w:tabs>
        <w:ind w:left="2160" w:hanging="360"/>
      </w:pPr>
      <w:rPr>
        <w:rFonts w:ascii="Wingdings" w:hAnsi="Wingdings" w:hint="default"/>
      </w:rPr>
    </w:lvl>
    <w:lvl w:ilvl="3" w:tplc="333AA4DC" w:tentative="1">
      <w:start w:val="1"/>
      <w:numFmt w:val="bullet"/>
      <w:lvlText w:val=""/>
      <w:lvlJc w:val="left"/>
      <w:pPr>
        <w:tabs>
          <w:tab w:val="num" w:pos="2880"/>
        </w:tabs>
        <w:ind w:left="2880" w:hanging="360"/>
      </w:pPr>
      <w:rPr>
        <w:rFonts w:ascii="Wingdings" w:hAnsi="Wingdings" w:hint="default"/>
      </w:rPr>
    </w:lvl>
    <w:lvl w:ilvl="4" w:tplc="27F43CBE" w:tentative="1">
      <w:start w:val="1"/>
      <w:numFmt w:val="bullet"/>
      <w:lvlText w:val=""/>
      <w:lvlJc w:val="left"/>
      <w:pPr>
        <w:tabs>
          <w:tab w:val="num" w:pos="3600"/>
        </w:tabs>
        <w:ind w:left="3600" w:hanging="360"/>
      </w:pPr>
      <w:rPr>
        <w:rFonts w:ascii="Wingdings" w:hAnsi="Wingdings" w:hint="default"/>
      </w:rPr>
    </w:lvl>
    <w:lvl w:ilvl="5" w:tplc="AA482B82" w:tentative="1">
      <w:start w:val="1"/>
      <w:numFmt w:val="bullet"/>
      <w:lvlText w:val=""/>
      <w:lvlJc w:val="left"/>
      <w:pPr>
        <w:tabs>
          <w:tab w:val="num" w:pos="4320"/>
        </w:tabs>
        <w:ind w:left="4320" w:hanging="360"/>
      </w:pPr>
      <w:rPr>
        <w:rFonts w:ascii="Wingdings" w:hAnsi="Wingdings" w:hint="default"/>
      </w:rPr>
    </w:lvl>
    <w:lvl w:ilvl="6" w:tplc="813A131C" w:tentative="1">
      <w:start w:val="1"/>
      <w:numFmt w:val="bullet"/>
      <w:lvlText w:val=""/>
      <w:lvlJc w:val="left"/>
      <w:pPr>
        <w:tabs>
          <w:tab w:val="num" w:pos="5040"/>
        </w:tabs>
        <w:ind w:left="5040" w:hanging="360"/>
      </w:pPr>
      <w:rPr>
        <w:rFonts w:ascii="Wingdings" w:hAnsi="Wingdings" w:hint="default"/>
      </w:rPr>
    </w:lvl>
    <w:lvl w:ilvl="7" w:tplc="55982284" w:tentative="1">
      <w:start w:val="1"/>
      <w:numFmt w:val="bullet"/>
      <w:lvlText w:val=""/>
      <w:lvlJc w:val="left"/>
      <w:pPr>
        <w:tabs>
          <w:tab w:val="num" w:pos="5760"/>
        </w:tabs>
        <w:ind w:left="5760" w:hanging="360"/>
      </w:pPr>
      <w:rPr>
        <w:rFonts w:ascii="Wingdings" w:hAnsi="Wingdings" w:hint="default"/>
      </w:rPr>
    </w:lvl>
    <w:lvl w:ilvl="8" w:tplc="917A63A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1A084F"/>
    <w:multiLevelType w:val="hybridMultilevel"/>
    <w:tmpl w:val="DEC60854"/>
    <w:lvl w:ilvl="0" w:tplc="F1AA93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FE7ED3"/>
    <w:multiLevelType w:val="hybridMultilevel"/>
    <w:tmpl w:val="77DCC19E"/>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8" w15:restartNumberingAfterBreak="0">
    <w:nsid w:val="7ABF3B22"/>
    <w:multiLevelType w:val="hybridMultilevel"/>
    <w:tmpl w:val="454866B0"/>
    <w:lvl w:ilvl="0" w:tplc="F9F83B42">
      <w:numFmt w:val="bullet"/>
      <w:lvlText w:val="-"/>
      <w:lvlJc w:val="left"/>
      <w:pPr>
        <w:ind w:left="720" w:hanging="360"/>
      </w:pPr>
      <w:rPr>
        <w:rFonts w:ascii="Calibri" w:eastAsiaTheme="minorHAnsi" w:hAnsi="Calibri" w:cstheme="minorHAnsi" w:hint="default"/>
        <w:b/>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D4B"/>
    <w:rsid w:val="00026BB8"/>
    <w:rsid w:val="000D4324"/>
    <w:rsid w:val="00106A86"/>
    <w:rsid w:val="0012568E"/>
    <w:rsid w:val="0016195C"/>
    <w:rsid w:val="00171B0D"/>
    <w:rsid w:val="00172381"/>
    <w:rsid w:val="0018430D"/>
    <w:rsid w:val="001A30E1"/>
    <w:rsid w:val="001D69A2"/>
    <w:rsid w:val="001D7E5D"/>
    <w:rsid w:val="001E4295"/>
    <w:rsid w:val="00207532"/>
    <w:rsid w:val="0024333E"/>
    <w:rsid w:val="002449DF"/>
    <w:rsid w:val="002507AA"/>
    <w:rsid w:val="00253509"/>
    <w:rsid w:val="00272773"/>
    <w:rsid w:val="002762A9"/>
    <w:rsid w:val="002D5A73"/>
    <w:rsid w:val="002D697F"/>
    <w:rsid w:val="0030071B"/>
    <w:rsid w:val="0032419B"/>
    <w:rsid w:val="00336232"/>
    <w:rsid w:val="00344E9D"/>
    <w:rsid w:val="00356479"/>
    <w:rsid w:val="00363DB0"/>
    <w:rsid w:val="0039251F"/>
    <w:rsid w:val="003A009E"/>
    <w:rsid w:val="003A4687"/>
    <w:rsid w:val="003A7750"/>
    <w:rsid w:val="003B6273"/>
    <w:rsid w:val="003D5825"/>
    <w:rsid w:val="003F4BFA"/>
    <w:rsid w:val="0041386A"/>
    <w:rsid w:val="0042747E"/>
    <w:rsid w:val="00441613"/>
    <w:rsid w:val="00490C42"/>
    <w:rsid w:val="004914FA"/>
    <w:rsid w:val="00494840"/>
    <w:rsid w:val="004A16AB"/>
    <w:rsid w:val="004A2E07"/>
    <w:rsid w:val="004A5577"/>
    <w:rsid w:val="00531BC8"/>
    <w:rsid w:val="005433E6"/>
    <w:rsid w:val="00552C76"/>
    <w:rsid w:val="00563070"/>
    <w:rsid w:val="005845F9"/>
    <w:rsid w:val="00585FDB"/>
    <w:rsid w:val="00592C4F"/>
    <w:rsid w:val="0059425E"/>
    <w:rsid w:val="005B2C9B"/>
    <w:rsid w:val="005E6234"/>
    <w:rsid w:val="005F2F0E"/>
    <w:rsid w:val="005F67CF"/>
    <w:rsid w:val="00614982"/>
    <w:rsid w:val="00630796"/>
    <w:rsid w:val="006334A2"/>
    <w:rsid w:val="00635960"/>
    <w:rsid w:val="006764EE"/>
    <w:rsid w:val="00715DD7"/>
    <w:rsid w:val="0072195C"/>
    <w:rsid w:val="007B3E33"/>
    <w:rsid w:val="007E000A"/>
    <w:rsid w:val="008A2DB7"/>
    <w:rsid w:val="008D2F5E"/>
    <w:rsid w:val="00912CA4"/>
    <w:rsid w:val="00924747"/>
    <w:rsid w:val="009559EE"/>
    <w:rsid w:val="00992DD9"/>
    <w:rsid w:val="00993E3B"/>
    <w:rsid w:val="009A5CC4"/>
    <w:rsid w:val="009C6B50"/>
    <w:rsid w:val="009C7BC6"/>
    <w:rsid w:val="009D510E"/>
    <w:rsid w:val="009F664C"/>
    <w:rsid w:val="00A423BC"/>
    <w:rsid w:val="00A44A93"/>
    <w:rsid w:val="00A523A5"/>
    <w:rsid w:val="00A738D6"/>
    <w:rsid w:val="00A83E87"/>
    <w:rsid w:val="00A8415C"/>
    <w:rsid w:val="00A93F41"/>
    <w:rsid w:val="00A97233"/>
    <w:rsid w:val="00AB2762"/>
    <w:rsid w:val="00AB3A2E"/>
    <w:rsid w:val="00AD4B4D"/>
    <w:rsid w:val="00AE331C"/>
    <w:rsid w:val="00B01CCD"/>
    <w:rsid w:val="00B263F6"/>
    <w:rsid w:val="00B4743A"/>
    <w:rsid w:val="00B7027C"/>
    <w:rsid w:val="00B737D9"/>
    <w:rsid w:val="00C31E58"/>
    <w:rsid w:val="00C53188"/>
    <w:rsid w:val="00C65763"/>
    <w:rsid w:val="00C70EB1"/>
    <w:rsid w:val="00C83708"/>
    <w:rsid w:val="00C924B7"/>
    <w:rsid w:val="00CA3617"/>
    <w:rsid w:val="00CB5C7F"/>
    <w:rsid w:val="00CC483B"/>
    <w:rsid w:val="00CD3B9F"/>
    <w:rsid w:val="00CF1DF7"/>
    <w:rsid w:val="00CF3F02"/>
    <w:rsid w:val="00D32689"/>
    <w:rsid w:val="00D41542"/>
    <w:rsid w:val="00D73BB2"/>
    <w:rsid w:val="00DA17E6"/>
    <w:rsid w:val="00E33974"/>
    <w:rsid w:val="00E53D99"/>
    <w:rsid w:val="00EA0E8E"/>
    <w:rsid w:val="00EB2922"/>
    <w:rsid w:val="00EC4462"/>
    <w:rsid w:val="00EF1B5A"/>
    <w:rsid w:val="00F01505"/>
    <w:rsid w:val="00F133F1"/>
    <w:rsid w:val="00F21D4B"/>
    <w:rsid w:val="00F36B70"/>
    <w:rsid w:val="00F725BD"/>
    <w:rsid w:val="00F73909"/>
    <w:rsid w:val="00F82756"/>
    <w:rsid w:val="00F919B6"/>
    <w:rsid w:val="00FF45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D3ABF8"/>
  <w15:chartTrackingRefBased/>
  <w15:docId w15:val="{9BC36BC5-7502-4083-9E32-787163FD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5BD"/>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0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7AA"/>
    <w:rPr>
      <w:rFonts w:ascii="Segoe UI" w:hAnsi="Segoe UI" w:cs="Segoe UI"/>
      <w:sz w:val="18"/>
      <w:szCs w:val="18"/>
    </w:rPr>
  </w:style>
  <w:style w:type="paragraph" w:styleId="FootnoteText">
    <w:name w:val="footnote text"/>
    <w:basedOn w:val="Normal"/>
    <w:link w:val="FootnoteTextChar"/>
    <w:uiPriority w:val="99"/>
    <w:semiHidden/>
    <w:unhideWhenUsed/>
    <w:rsid w:val="00543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33E6"/>
    <w:rPr>
      <w:sz w:val="20"/>
      <w:szCs w:val="20"/>
    </w:rPr>
  </w:style>
  <w:style w:type="character" w:styleId="FootnoteReference">
    <w:name w:val="footnote reference"/>
    <w:basedOn w:val="DefaultParagraphFont"/>
    <w:uiPriority w:val="99"/>
    <w:semiHidden/>
    <w:unhideWhenUsed/>
    <w:rsid w:val="005433E6"/>
    <w:rPr>
      <w:vertAlign w:val="superscript"/>
    </w:rPr>
  </w:style>
  <w:style w:type="character" w:styleId="Hyperlink">
    <w:name w:val="Hyperlink"/>
    <w:basedOn w:val="DefaultParagraphFont"/>
    <w:uiPriority w:val="99"/>
    <w:unhideWhenUsed/>
    <w:rsid w:val="008A2DB7"/>
    <w:rPr>
      <w:color w:val="0563C1"/>
      <w:u w:val="single"/>
    </w:rPr>
  </w:style>
  <w:style w:type="character" w:styleId="UnresolvedMention">
    <w:name w:val="Unresolved Mention"/>
    <w:basedOn w:val="DefaultParagraphFont"/>
    <w:uiPriority w:val="99"/>
    <w:semiHidden/>
    <w:unhideWhenUsed/>
    <w:rsid w:val="00C70EB1"/>
    <w:rPr>
      <w:color w:val="605E5C"/>
      <w:shd w:val="clear" w:color="auto" w:fill="E1DFDD"/>
    </w:rPr>
  </w:style>
  <w:style w:type="paragraph" w:styleId="Header">
    <w:name w:val="header"/>
    <w:basedOn w:val="Normal"/>
    <w:link w:val="HeaderChar"/>
    <w:uiPriority w:val="99"/>
    <w:unhideWhenUsed/>
    <w:rsid w:val="00992D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2DD9"/>
  </w:style>
  <w:style w:type="paragraph" w:styleId="Footer">
    <w:name w:val="footer"/>
    <w:basedOn w:val="Normal"/>
    <w:link w:val="FooterChar"/>
    <w:uiPriority w:val="99"/>
    <w:unhideWhenUsed/>
    <w:rsid w:val="00992D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2DD9"/>
  </w:style>
  <w:style w:type="character" w:styleId="CommentReference">
    <w:name w:val="annotation reference"/>
    <w:basedOn w:val="DefaultParagraphFont"/>
    <w:uiPriority w:val="99"/>
    <w:semiHidden/>
    <w:unhideWhenUsed/>
    <w:rsid w:val="00AD4B4D"/>
    <w:rPr>
      <w:sz w:val="16"/>
      <w:szCs w:val="16"/>
    </w:rPr>
  </w:style>
  <w:style w:type="paragraph" w:styleId="CommentText">
    <w:name w:val="annotation text"/>
    <w:basedOn w:val="Normal"/>
    <w:link w:val="CommentTextChar"/>
    <w:uiPriority w:val="99"/>
    <w:semiHidden/>
    <w:unhideWhenUsed/>
    <w:rsid w:val="00AD4B4D"/>
    <w:pPr>
      <w:spacing w:line="240" w:lineRule="auto"/>
    </w:pPr>
    <w:rPr>
      <w:sz w:val="20"/>
      <w:szCs w:val="20"/>
    </w:rPr>
  </w:style>
  <w:style w:type="character" w:customStyle="1" w:styleId="CommentTextChar">
    <w:name w:val="Comment Text Char"/>
    <w:basedOn w:val="DefaultParagraphFont"/>
    <w:link w:val="CommentText"/>
    <w:uiPriority w:val="99"/>
    <w:semiHidden/>
    <w:rsid w:val="00AD4B4D"/>
    <w:rPr>
      <w:sz w:val="20"/>
      <w:szCs w:val="20"/>
    </w:rPr>
  </w:style>
  <w:style w:type="paragraph" w:styleId="CommentSubject">
    <w:name w:val="annotation subject"/>
    <w:basedOn w:val="CommentText"/>
    <w:next w:val="CommentText"/>
    <w:link w:val="CommentSubjectChar"/>
    <w:uiPriority w:val="99"/>
    <w:semiHidden/>
    <w:unhideWhenUsed/>
    <w:rsid w:val="00AD4B4D"/>
    <w:rPr>
      <w:b/>
      <w:bCs/>
    </w:rPr>
  </w:style>
  <w:style w:type="character" w:customStyle="1" w:styleId="CommentSubjectChar">
    <w:name w:val="Comment Subject Char"/>
    <w:basedOn w:val="CommentTextChar"/>
    <w:link w:val="CommentSubject"/>
    <w:uiPriority w:val="99"/>
    <w:semiHidden/>
    <w:rsid w:val="00AD4B4D"/>
    <w:rPr>
      <w:b/>
      <w:bCs/>
      <w:sz w:val="20"/>
      <w:szCs w:val="20"/>
    </w:rPr>
  </w:style>
  <w:style w:type="paragraph" w:styleId="EndnoteText">
    <w:name w:val="endnote text"/>
    <w:basedOn w:val="Normal"/>
    <w:link w:val="EndnoteTextChar"/>
    <w:uiPriority w:val="99"/>
    <w:unhideWhenUsed/>
    <w:rsid w:val="00AD4B4D"/>
    <w:pPr>
      <w:spacing w:after="0" w:line="240" w:lineRule="auto"/>
    </w:pPr>
    <w:rPr>
      <w:sz w:val="20"/>
      <w:szCs w:val="20"/>
    </w:rPr>
  </w:style>
  <w:style w:type="character" w:customStyle="1" w:styleId="EndnoteTextChar">
    <w:name w:val="Endnote Text Char"/>
    <w:basedOn w:val="DefaultParagraphFont"/>
    <w:link w:val="EndnoteText"/>
    <w:uiPriority w:val="99"/>
    <w:rsid w:val="00AD4B4D"/>
    <w:rPr>
      <w:sz w:val="20"/>
      <w:szCs w:val="20"/>
    </w:rPr>
  </w:style>
  <w:style w:type="character" w:styleId="EndnoteReference">
    <w:name w:val="endnote reference"/>
    <w:basedOn w:val="DefaultParagraphFont"/>
    <w:uiPriority w:val="99"/>
    <w:semiHidden/>
    <w:unhideWhenUsed/>
    <w:rsid w:val="00AD4B4D"/>
    <w:rPr>
      <w:vertAlign w:val="superscript"/>
    </w:rPr>
  </w:style>
  <w:style w:type="character" w:customStyle="1" w:styleId="tlid-translation">
    <w:name w:val="tlid-translation"/>
    <w:basedOn w:val="DefaultParagraphFont"/>
    <w:rsid w:val="00AD4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94215">
      <w:bodyDiv w:val="1"/>
      <w:marLeft w:val="0"/>
      <w:marRight w:val="0"/>
      <w:marTop w:val="0"/>
      <w:marBottom w:val="0"/>
      <w:divBdr>
        <w:top w:val="none" w:sz="0" w:space="0" w:color="auto"/>
        <w:left w:val="none" w:sz="0" w:space="0" w:color="auto"/>
        <w:bottom w:val="none" w:sz="0" w:space="0" w:color="auto"/>
        <w:right w:val="none" w:sz="0" w:space="0" w:color="auto"/>
      </w:divBdr>
      <w:divsChild>
        <w:div w:id="151528239">
          <w:marLeft w:val="446"/>
          <w:marRight w:val="0"/>
          <w:marTop w:val="0"/>
          <w:marBottom w:val="0"/>
          <w:divBdr>
            <w:top w:val="none" w:sz="0" w:space="0" w:color="auto"/>
            <w:left w:val="none" w:sz="0" w:space="0" w:color="auto"/>
            <w:bottom w:val="none" w:sz="0" w:space="0" w:color="auto"/>
            <w:right w:val="none" w:sz="0" w:space="0" w:color="auto"/>
          </w:divBdr>
        </w:div>
        <w:div w:id="962811322">
          <w:marLeft w:val="446"/>
          <w:marRight w:val="0"/>
          <w:marTop w:val="0"/>
          <w:marBottom w:val="0"/>
          <w:divBdr>
            <w:top w:val="none" w:sz="0" w:space="0" w:color="auto"/>
            <w:left w:val="none" w:sz="0" w:space="0" w:color="auto"/>
            <w:bottom w:val="none" w:sz="0" w:space="0" w:color="auto"/>
            <w:right w:val="none" w:sz="0" w:space="0" w:color="auto"/>
          </w:divBdr>
        </w:div>
        <w:div w:id="891232005">
          <w:marLeft w:val="446"/>
          <w:marRight w:val="0"/>
          <w:marTop w:val="0"/>
          <w:marBottom w:val="0"/>
          <w:divBdr>
            <w:top w:val="none" w:sz="0" w:space="0" w:color="auto"/>
            <w:left w:val="none" w:sz="0" w:space="0" w:color="auto"/>
            <w:bottom w:val="none" w:sz="0" w:space="0" w:color="auto"/>
            <w:right w:val="none" w:sz="0" w:space="0" w:color="auto"/>
          </w:divBdr>
        </w:div>
        <w:div w:id="484128084">
          <w:marLeft w:val="1166"/>
          <w:marRight w:val="0"/>
          <w:marTop w:val="0"/>
          <w:marBottom w:val="0"/>
          <w:divBdr>
            <w:top w:val="none" w:sz="0" w:space="0" w:color="auto"/>
            <w:left w:val="none" w:sz="0" w:space="0" w:color="auto"/>
            <w:bottom w:val="none" w:sz="0" w:space="0" w:color="auto"/>
            <w:right w:val="none" w:sz="0" w:space="0" w:color="auto"/>
          </w:divBdr>
        </w:div>
        <w:div w:id="1843012103">
          <w:marLeft w:val="446"/>
          <w:marRight w:val="0"/>
          <w:marTop w:val="0"/>
          <w:marBottom w:val="0"/>
          <w:divBdr>
            <w:top w:val="none" w:sz="0" w:space="0" w:color="auto"/>
            <w:left w:val="none" w:sz="0" w:space="0" w:color="auto"/>
            <w:bottom w:val="none" w:sz="0" w:space="0" w:color="auto"/>
            <w:right w:val="none" w:sz="0" w:space="0" w:color="auto"/>
          </w:divBdr>
        </w:div>
      </w:divsChild>
    </w:div>
    <w:div w:id="326246954">
      <w:bodyDiv w:val="1"/>
      <w:marLeft w:val="0"/>
      <w:marRight w:val="0"/>
      <w:marTop w:val="0"/>
      <w:marBottom w:val="0"/>
      <w:divBdr>
        <w:top w:val="none" w:sz="0" w:space="0" w:color="auto"/>
        <w:left w:val="none" w:sz="0" w:space="0" w:color="auto"/>
        <w:bottom w:val="none" w:sz="0" w:space="0" w:color="auto"/>
        <w:right w:val="none" w:sz="0" w:space="0" w:color="auto"/>
      </w:divBdr>
    </w:div>
    <w:div w:id="748890691">
      <w:bodyDiv w:val="1"/>
      <w:marLeft w:val="0"/>
      <w:marRight w:val="0"/>
      <w:marTop w:val="0"/>
      <w:marBottom w:val="0"/>
      <w:divBdr>
        <w:top w:val="none" w:sz="0" w:space="0" w:color="auto"/>
        <w:left w:val="none" w:sz="0" w:space="0" w:color="auto"/>
        <w:bottom w:val="none" w:sz="0" w:space="0" w:color="auto"/>
        <w:right w:val="none" w:sz="0" w:space="0" w:color="auto"/>
      </w:divBdr>
    </w:div>
    <w:div w:id="1273051876">
      <w:bodyDiv w:val="1"/>
      <w:marLeft w:val="0"/>
      <w:marRight w:val="0"/>
      <w:marTop w:val="0"/>
      <w:marBottom w:val="0"/>
      <w:divBdr>
        <w:top w:val="none" w:sz="0" w:space="0" w:color="auto"/>
        <w:left w:val="none" w:sz="0" w:space="0" w:color="auto"/>
        <w:bottom w:val="none" w:sz="0" w:space="0" w:color="auto"/>
        <w:right w:val="none" w:sz="0" w:space="0" w:color="auto"/>
      </w:divBdr>
    </w:div>
    <w:div w:id="1995377785">
      <w:bodyDiv w:val="1"/>
      <w:marLeft w:val="0"/>
      <w:marRight w:val="0"/>
      <w:marTop w:val="0"/>
      <w:marBottom w:val="0"/>
      <w:divBdr>
        <w:top w:val="none" w:sz="0" w:space="0" w:color="auto"/>
        <w:left w:val="none" w:sz="0" w:space="0" w:color="auto"/>
        <w:bottom w:val="none" w:sz="0" w:space="0" w:color="auto"/>
        <w:right w:val="none" w:sz="0" w:space="0" w:color="auto"/>
      </w:divBdr>
      <w:divsChild>
        <w:div w:id="1999721974">
          <w:marLeft w:val="446"/>
          <w:marRight w:val="0"/>
          <w:marTop w:val="0"/>
          <w:marBottom w:val="0"/>
          <w:divBdr>
            <w:top w:val="none" w:sz="0" w:space="0" w:color="auto"/>
            <w:left w:val="none" w:sz="0" w:space="0" w:color="auto"/>
            <w:bottom w:val="none" w:sz="0" w:space="0" w:color="auto"/>
            <w:right w:val="none" w:sz="0" w:space="0" w:color="auto"/>
          </w:divBdr>
        </w:div>
        <w:div w:id="1806117357">
          <w:marLeft w:val="446"/>
          <w:marRight w:val="0"/>
          <w:marTop w:val="0"/>
          <w:marBottom w:val="0"/>
          <w:divBdr>
            <w:top w:val="none" w:sz="0" w:space="0" w:color="auto"/>
            <w:left w:val="none" w:sz="0" w:space="0" w:color="auto"/>
            <w:bottom w:val="none" w:sz="0" w:space="0" w:color="auto"/>
            <w:right w:val="none" w:sz="0" w:space="0" w:color="auto"/>
          </w:divBdr>
        </w:div>
        <w:div w:id="12335197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1.safelinks.protection.outlook.com/?url=https%3A%2F%2Fclicktime.symantec.com%2F3XGMnwLbL45T91djamk1hJG6H2%3Fu%3Dhttps%253A%252F%252Finternationalview.org%252F2020%252F05%252F02%252Fcorona-gids-guide-leitfaden-documentation%252F&amp;data=02%7C01%7CSolene.Guillemot%40industriall-europe.eu%7C063321121fff4a8a446808d80c7a5ce2%7Caba971db37f44611ac7cfb9911ba2369%7C1%7C0%7C637273066992627702&amp;sdata=BJ4bKt%2Bcnu8%2BVi4Mbka%2BAjkfpoDh64nDJCIlOeFJ8oo%3D&amp;reserved=0" TargetMode="External"/><Relationship Id="rId18" Type="http://schemas.openxmlformats.org/officeDocument/2006/relationships/hyperlink" Target="https://www.bgrci.de/praevention/coronavir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bmas.de/SharedDocs/Downloads/DE/PDF-Schwerpunkte/sars-cov-2-arbeitsschutzstandard.pdf?__blob=publicationFile&amp;v=1" TargetMode="External"/><Relationship Id="rId2" Type="http://schemas.openxmlformats.org/officeDocument/2006/relationships/customXml" Target="../customXml/item2.xml"/><Relationship Id="rId16" Type="http://schemas.openxmlformats.org/officeDocument/2006/relationships/hyperlink" Target="https://www.francechimie.fr/media/2dd/pratiques-coronavirus-branche-chimie-rev4-2020-07-06.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feique.org/pdfs/Recomendaciones-para-la-proteccion-de-la-salud-de-los-trabajadores-frente-al-covid-19-en-la-industria-quimica.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licktime.symantec.com/3AB5rF84QSVBAmnZnt3nmu26H2?u=https%3A%2F%2Fwww.confindustria.it%2Fwcm%2Fconnect%2F97e754f1-3e16-4c34-abb3-b94b6ee215ba%2FCommon%2Bregulatory%2Bprotocol_24042020_clean.pdf%3FMOD%3DAJPERES%26CONVERT_TO%3Durl%26CACHEID%3DROOTWORKSPACE-97e754f1-3e16-4c34-abb3-b94b6ee215ba-n75wSv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lo.org/global/topics/safety-and-health-at-work/resources-library/publications/WCMS_745549/lang--en/index.htm" TargetMode="External"/><Relationship Id="rId1" Type="http://schemas.openxmlformats.org/officeDocument/2006/relationships/hyperlink" Target="https://oshwiki.eu/wiki/COVID-19:_Back_to_the_workplace_-_Adapting_workplaces_and_protecting_worke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0969A63B8C8A48903F7E157B91A073" ma:contentTypeVersion="11" ma:contentTypeDescription="Create a new document." ma:contentTypeScope="" ma:versionID="37e51712a6ff4d7f8b792f8154a22d2f">
  <xsd:schema xmlns:xsd="http://www.w3.org/2001/XMLSchema" xmlns:xs="http://www.w3.org/2001/XMLSchema" xmlns:p="http://schemas.microsoft.com/office/2006/metadata/properties" xmlns:ns2="41cb6563-1e10-4d5f-a5ce-61b793a3e894" xmlns:ns3="6c24db1e-f3f8-417e-b225-bfc87bd0397a" targetNamespace="http://schemas.microsoft.com/office/2006/metadata/properties" ma:root="true" ma:fieldsID="a54e0cbfb49a7656f2158e49991a619b" ns2:_="" ns3:_="">
    <xsd:import namespace="41cb6563-1e10-4d5f-a5ce-61b793a3e894"/>
    <xsd:import namespace="6c24db1e-f3f8-417e-b225-bfc87bd039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b6563-1e10-4d5f-a5ce-61b793a3e8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24db1e-f3f8-417e-b225-bfc87bd0397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734FAF-2CDF-4C62-ACDE-D615C7548BA5}">
  <ds:schemaRefs>
    <ds:schemaRef ds:uri="http://schemas.openxmlformats.org/officeDocument/2006/bibliography"/>
  </ds:schemaRefs>
</ds:datastoreItem>
</file>

<file path=customXml/itemProps2.xml><?xml version="1.0" encoding="utf-8"?>
<ds:datastoreItem xmlns:ds="http://schemas.openxmlformats.org/officeDocument/2006/customXml" ds:itemID="{F9BF5D36-3902-4E71-A1C0-436973AF63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284F66-642F-426E-A805-CFF8A437B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b6563-1e10-4d5f-a5ce-61b793a3e894"/>
    <ds:schemaRef ds:uri="6c24db1e-f3f8-417e-b225-bfc87bd03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ACF6C5-61C5-438A-BF4C-D5A522725D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6808</Characters>
  <Application>Microsoft Office Word</Application>
  <DocSecurity>4</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Argutyan Emma</dc:creator>
  <cp:keywords/>
  <dc:description/>
  <cp:lastModifiedBy>Andrea Husen-Bradley</cp:lastModifiedBy>
  <cp:revision>2</cp:revision>
  <dcterms:created xsi:type="dcterms:W3CDTF">2020-08-19T10:07:00Z</dcterms:created>
  <dcterms:modified xsi:type="dcterms:W3CDTF">2020-08-19T10:07:00Z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0x010100DF0969A63B8C8A48903F7E157B91A073</vt:lpwstr>
  </property>
</Properties>
</file>